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środków ochrony osobistej oraz środków chemicznych do dezynfekcji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 xml:space="preserve">Oznaczenie postępowania: DPS </w:t>
      </w:r>
      <w:r>
        <w:rPr>
          <w:rFonts w:eastAsia="Times New Roman" w:cs="Times New Roman" w:ascii="Times New Roman" w:hAnsi="Times New Roman"/>
          <w:b/>
          <w:lang w:eastAsia="pl-PL"/>
        </w:rPr>
        <w:t>11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2"/>
        <w:gridCol w:w="1584"/>
        <w:gridCol w:w="2902"/>
      </w:tblGrid>
      <w:tr>
        <w:trPr/>
        <w:tc>
          <w:tcPr>
            <w:tcW w:w="487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7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Zakup i dostawa środków ochrony osobistej wskazanych w Części 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I:  .......... 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>Zakup i dostawa środków chemicznych do dezynfekcji wskazanych w Części 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82251726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LibreOffice/6.1.3.2$Windows_x86 LibreOffice_project/86daf60bf00efa86ad547e59e09d6bb77c699acb</Application>
  <Pages>2</Pages>
  <Words>429</Words>
  <Characters>2948</Characters>
  <CharactersWithSpaces>3382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2021-07-14T13:11:33Z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