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 w:val="true"/>
        <w:numPr>
          <w:ilvl w:val="0"/>
          <w:numId w:val="0"/>
        </w:numPr>
        <w:overflowPunct w:val="true"/>
        <w:spacing w:lineRule="auto" w:line="264" w:before="0" w:after="0"/>
        <w:ind w:hanging="357"/>
        <w:contextualSpacing/>
        <w:jc w:val="right"/>
        <w:textAlignment w:val="baseline"/>
        <w:outlineLvl w:val="1"/>
        <w:rPr>
          <w:rFonts w:ascii="Times New Roman" w:hAnsi="Times New Roman" w:eastAsia="Times New Roman" w:cs="Times New Roman"/>
          <w:bCs/>
          <w:iCs/>
          <w:sz w:val="20"/>
          <w:szCs w:val="20"/>
          <w:u w:val="single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sz w:val="20"/>
          <w:szCs w:val="20"/>
          <w:u w:val="single"/>
          <w:lang w:eastAsia="pl-PL"/>
        </w:rPr>
        <w:t xml:space="preserve">Załącznik nr 2 do zapytania ofertowego </w:t>
      </w:r>
    </w:p>
    <w:p>
      <w:pPr>
        <w:pStyle w:val="Normal"/>
        <w:numPr>
          <w:ilvl w:val="0"/>
          <w:numId w:val="0"/>
        </w:numPr>
        <w:overflowPunct w:val="true"/>
        <w:spacing w:lineRule="auto" w:line="264" w:before="0" w:after="0"/>
        <w:ind w:hanging="357"/>
        <w:contextualSpacing/>
        <w:jc w:val="center"/>
        <w:outlineLvl w:val="5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 xml:space="preserve">UMOWA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zawarta w dniu …… 2021 r. w Miechowie, pomiędzy:</w:t>
      </w:r>
    </w:p>
    <w:p>
      <w:pPr>
        <w:pStyle w:val="Normal"/>
        <w:suppressAutoHyphens w:val="true"/>
        <w:spacing w:lineRule="auto" w:line="264" w:before="0" w:after="0"/>
        <w:ind w:hanging="357"/>
        <w:contextualSpacing/>
        <w:rPr>
          <w:rFonts w:ascii="Times New Roman" w:hAnsi="Times New Roman" w:eastAsia="MS Mincho" w:cs="Times New Roman"/>
          <w:bCs/>
          <w:color w:val="000000"/>
          <w:sz w:val="24"/>
          <w:szCs w:val="24"/>
          <w:lang w:eastAsia="ar-SA"/>
        </w:rPr>
      </w:pPr>
      <w:r>
        <w:rPr>
          <w:rFonts w:eastAsia="MS Mincho" w:cs="Times New Roman" w:ascii="Times New Roman" w:hAnsi="Times New Roman"/>
          <w:bCs/>
          <w:color w:val="000000"/>
          <w:sz w:val="24"/>
          <w:szCs w:val="24"/>
          <w:lang w:eastAsia="ar-SA"/>
        </w:rPr>
      </w:r>
    </w:p>
    <w:p>
      <w:pPr>
        <w:pStyle w:val="Normal"/>
        <w:suppressAutoHyphens w:val="true"/>
        <w:spacing w:lineRule="auto" w:line="264" w:before="0" w:after="0"/>
        <w:ind w:left="-357" w:hanging="0"/>
        <w:contextualSpacing/>
        <w:rPr>
          <w:rFonts w:ascii="Times New Roman" w:hAnsi="Times New Roman" w:eastAsia="MS Mincho" w:cs="Times New Roman"/>
          <w:bCs/>
          <w:color w:val="000000"/>
          <w:sz w:val="24"/>
          <w:szCs w:val="24"/>
          <w:lang w:eastAsia="ar-SA"/>
        </w:rPr>
      </w:pPr>
      <w:r>
        <w:rPr>
          <w:rFonts w:eastAsia="MS Mincho" w:cs="Times New Roman" w:ascii="Times New Roman" w:hAnsi="Times New Roman"/>
          <w:bCs/>
          <w:color w:val="000000"/>
          <w:sz w:val="24"/>
          <w:szCs w:val="24"/>
          <w:lang w:eastAsia="ar-SA"/>
        </w:rPr>
        <w:t>Powiatem Miechowskim, ul. Racławicka 12, 32-200 Miechów NIP 659-154-58-68; Domem Pomocy Społecznej w Miechowie ul. Warszawska 49 A, 32-200 Miechów</w:t>
      </w:r>
    </w:p>
    <w:p>
      <w:pPr>
        <w:pStyle w:val="Normal"/>
        <w:suppressAutoHyphens w:val="true"/>
        <w:spacing w:lineRule="auto" w:line="264" w:before="0" w:after="0"/>
        <w:ind w:left="-357" w:hanging="0"/>
        <w:contextualSpacing/>
        <w:rPr>
          <w:rFonts w:ascii="Times New Roman" w:hAnsi="Times New Roman" w:eastAsia="MS Mincho" w:cs="Times New Roman"/>
          <w:bCs/>
          <w:color w:val="000000"/>
          <w:sz w:val="24"/>
          <w:szCs w:val="24"/>
          <w:lang w:eastAsia="ar-SA"/>
        </w:rPr>
      </w:pPr>
      <w:r>
        <w:rPr>
          <w:rFonts w:eastAsia="MS Mincho" w:cs="Times New Roman" w:ascii="Times New Roman" w:hAnsi="Times New Roman"/>
          <w:bCs/>
          <w:color w:val="000000"/>
          <w:sz w:val="24"/>
          <w:szCs w:val="24"/>
          <w:lang w:eastAsia="ar-SA"/>
        </w:rPr>
        <w:t>reprezentowanym przez:</w:t>
      </w:r>
    </w:p>
    <w:p>
      <w:pPr>
        <w:pStyle w:val="Normal"/>
        <w:suppressAutoHyphens w:val="true"/>
        <w:spacing w:lineRule="auto" w:line="264" w:before="0" w:after="0"/>
        <w:ind w:left="-357" w:hanging="0"/>
        <w:contextualSpacing/>
        <w:rPr>
          <w:rFonts w:ascii="Times New Roman" w:hAnsi="Times New Roman" w:eastAsia="MS Mincho" w:cs="Times New Roman"/>
          <w:bCs/>
          <w:color w:val="000000"/>
          <w:sz w:val="24"/>
          <w:szCs w:val="24"/>
          <w:lang w:eastAsia="ar-SA"/>
        </w:rPr>
      </w:pPr>
      <w:r>
        <w:rPr>
          <w:rFonts w:eastAsia="MS Mincho" w:cs="Times New Roman" w:ascii="Times New Roman" w:hAnsi="Times New Roman"/>
          <w:bCs/>
          <w:color w:val="000000"/>
          <w:sz w:val="24"/>
          <w:szCs w:val="24"/>
          <w:lang w:eastAsia="ar-SA"/>
        </w:rPr>
        <w:t>Małgorzata Wachacka –  Dyrektor</w:t>
      </w:r>
    </w:p>
    <w:p>
      <w:pPr>
        <w:pStyle w:val="Normal"/>
        <w:suppressAutoHyphens w:val="true"/>
        <w:spacing w:lineRule="auto" w:line="264" w:before="0" w:after="0"/>
        <w:ind w:left="-357" w:hanging="0"/>
        <w:contextualSpacing/>
        <w:rPr>
          <w:rFonts w:ascii="Times New Roman" w:hAnsi="Times New Roman" w:eastAsia="MS Mincho" w:cs="Times New Roman"/>
          <w:bCs/>
          <w:color w:val="000000"/>
          <w:sz w:val="24"/>
          <w:szCs w:val="24"/>
          <w:lang w:eastAsia="ar-SA"/>
        </w:rPr>
      </w:pPr>
      <w:r>
        <w:rPr>
          <w:rFonts w:eastAsia="MS Mincho" w:cs="Times New Roman" w:ascii="Times New Roman" w:hAnsi="Times New Roman"/>
          <w:bCs/>
          <w:color w:val="000000"/>
          <w:sz w:val="24"/>
          <w:szCs w:val="24"/>
          <w:lang w:eastAsia="ar-SA"/>
        </w:rPr>
        <w:t>zwany dalej „Zamawiającym”</w:t>
      </w:r>
    </w:p>
    <w:p>
      <w:pPr>
        <w:pStyle w:val="Normal"/>
        <w:overflowPunct w:val="true"/>
        <w:spacing w:lineRule="auto" w:line="264" w:before="0" w:after="0"/>
        <w:ind w:left="-357" w:hanging="0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a</w:t>
      </w:r>
    </w:p>
    <w:p>
      <w:pPr>
        <w:pStyle w:val="Normal"/>
        <w:overflowPunct w:val="true"/>
        <w:spacing w:lineRule="auto" w:line="264" w:before="0" w:after="0"/>
        <w:ind w:left="-357" w:hanging="0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……………………………………</w:t>
      </w: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. z siedzibą ………………………………., wpisaną do ….,  NIP: …………………reprezentowaną przez …………………………………………….….. </w:t>
      </w:r>
    </w:p>
    <w:p>
      <w:pPr>
        <w:pStyle w:val="Normal"/>
        <w:overflowPunct w:val="true"/>
        <w:spacing w:lineRule="auto" w:line="264" w:before="0" w:after="0"/>
        <w:ind w:left="-357" w:hanging="0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zwaną dalej „Wykonawcą”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Zamawiający i Wykonawca zwani dalej łącznie Stronami lub każdy z osobna Stroną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left="-357" w:hanging="0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  <w:t>Umowa niniejsza zostaje zawarta po przeprowadzeniu postępowania w trybie zapytania ofertowego, na podstawie art. Art.1 pkt. 1 ustawy z dnia 11.09.2019 roku Prawo zamówień publicznych  ( Dz. U. 2019, poz. 2019 ze zm.).</w:t>
      </w:r>
    </w:p>
    <w:p>
      <w:pPr>
        <w:pStyle w:val="Normal"/>
        <w:overflowPunct w:val="true"/>
        <w:spacing w:lineRule="auto" w:line="264" w:before="0" w:after="0"/>
        <w:ind w:right="707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right="707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</w:r>
    </w:p>
    <w:p>
      <w:pPr>
        <w:pStyle w:val="Normal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/>
          <w:b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pl-PL"/>
        </w:rPr>
        <w:t xml:space="preserve">§ 1   </w:t>
      </w: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PRZEDMIOT UMOWY</w:t>
      </w:r>
    </w:p>
    <w:p>
      <w:pPr>
        <w:pStyle w:val="Normal"/>
        <w:numPr>
          <w:ilvl w:val="0"/>
          <w:numId w:val="7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Zamawiający zleca, a Wykonawca zobowiązuje się do opracowania kosztorysu na zaproponowane rozwiązania techniczno-organizacyjne wynikające z opracowanej ekspertyzy technicznej stanu bezpieczeństwa pożarowego budynku Domu Pomocy Społecznej w Miechowie przy ul. Warszawskiej 49A  (stary budynek), zwanego dalej kosztorysem w oparciu o ofertę Wykonawcą stanowiącą załącznik nr 1 do umowy. </w:t>
      </w:r>
    </w:p>
    <w:p>
      <w:pPr>
        <w:pStyle w:val="Normal"/>
        <w:numPr>
          <w:ilvl w:val="0"/>
          <w:numId w:val="7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 celu wykonania kosztorysu Wykonawca będzie opierał się na ekspertyzie technicznej stanu bezpieczeństwa pożarowego budynku Domu Pomocy Społecznej w Miechowie przy ul. Warszawskiej 49A  (stary budynek) wykonanej w trybie § 2 ust. 2 rozporządzenia Ministra Infrastruktury z dnia 12 kwietnia 2020 r. w sprawie warunków technicznych oraz ewentualnie wynikach wizji lokalnej budynku stanowiącej załącznik nr 2 do umowy. </w:t>
      </w:r>
    </w:p>
    <w:p>
      <w:pPr>
        <w:pStyle w:val="Normal"/>
        <w:numPr>
          <w:ilvl w:val="0"/>
          <w:numId w:val="7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 skład wymaganej niniejszą umową dokumentacji wchodzą:</w:t>
      </w:r>
    </w:p>
    <w:p>
      <w:pPr>
        <w:pStyle w:val="Normal"/>
        <w:numPr>
          <w:ilvl w:val="0"/>
          <w:numId w:val="8"/>
        </w:numPr>
        <w:overflowPunct w:val="true"/>
        <w:spacing w:lineRule="auto" w:line="264" w:before="0" w:after="0"/>
        <w:ind w:left="-357" w:hanging="0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kosztorys inwestorski – 2 egzemplarze,</w:t>
      </w:r>
    </w:p>
    <w:p>
      <w:pPr>
        <w:pStyle w:val="Normal"/>
        <w:numPr>
          <w:ilvl w:val="0"/>
          <w:numId w:val="8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przedmiar robót  – 2 egzemplarze,</w:t>
      </w:r>
    </w:p>
    <w:p>
      <w:pPr>
        <w:pStyle w:val="Normal"/>
        <w:numPr>
          <w:ilvl w:val="0"/>
          <w:numId w:val="8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ww. dokumentacja w formie cyfrowej (format ath i pdf ) – 1 sztuka.</w:t>
      </w:r>
    </w:p>
    <w:p>
      <w:pPr>
        <w:pStyle w:val="ListParagraph"/>
        <w:numPr>
          <w:ilvl w:val="0"/>
          <w:numId w:val="7"/>
        </w:numPr>
        <w:spacing w:lineRule="auto" w:line="264" w:before="0" w:after="0"/>
        <w:ind w:left="0" w:hanging="357"/>
        <w:contextualSpacing/>
        <w:jc w:val="both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 ramach wykonania przedmiotu umowy Wykonawca zobowiązuje się uwzględnić wszystkie koszty niezbędne do doprowadzenia budynku do stanu zgodności z przepisami dotyczącymi ochrony przeciwpożarowej w tym usunięcia stwierdzonych nieprawidłowości w zakresie ochrony przeciwpożarowej budynku.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2   OKRES OBOWIĄZYWANIA UMOWY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Termin wykonania przedmiotu umowy ustala się do dnia 31 sierpnia 2021 r. 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rPr/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3   OBOWIĄZKI WYKONAWCY</w:t>
      </w:r>
    </w:p>
    <w:p>
      <w:pPr>
        <w:pStyle w:val="Normal"/>
        <w:numPr>
          <w:ilvl w:val="2"/>
          <w:numId w:val="1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Wykonawca zobowiązuje się do zapewnienia wykonania przedmiotu umowy, o którym mowa w § 1, zgodnie z umową, obowiązującymi przepisami, w tym techniczno – budowlanymi, oraz zasadami wiedzy technicznej. </w:t>
      </w:r>
    </w:p>
    <w:p>
      <w:pPr>
        <w:pStyle w:val="Normal"/>
        <w:numPr>
          <w:ilvl w:val="2"/>
          <w:numId w:val="1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Wykonawca oświadcza, że posiada odpowiednie do wykonania przedmiotu umowy uprawnienia. </w:t>
      </w:r>
    </w:p>
    <w:p>
      <w:pPr>
        <w:pStyle w:val="Normal"/>
        <w:numPr>
          <w:ilvl w:val="2"/>
          <w:numId w:val="1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Dokumentem potwierdzającym dostarczenie przedmiotu umowy jest protokół zdawczo-odbiorczy podpisany przez obie strony umowy.</w:t>
      </w:r>
    </w:p>
    <w:p>
      <w:pPr>
        <w:pStyle w:val="Normal"/>
        <w:numPr>
          <w:ilvl w:val="2"/>
          <w:numId w:val="1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 razie stwierdzenia niekompletności przedmiotu umowy, Wykonawca zobowiązuje się usunąć wskazane braki w terminie nie dłuższym niż 7 dni licząc od dnia powiadomienia Wykonawcy.</w:t>
      </w:r>
    </w:p>
    <w:p>
      <w:pPr>
        <w:pStyle w:val="Normal"/>
        <w:keepNext w:val="true"/>
        <w:numPr>
          <w:ilvl w:val="0"/>
          <w:numId w:val="0"/>
        </w:numPr>
        <w:spacing w:lineRule="auto" w:line="264" w:before="0" w:after="0"/>
        <w:ind w:hanging="357"/>
        <w:contextualSpacing/>
        <w:jc w:val="center"/>
        <w:outlineLvl w:val="3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</w:r>
    </w:p>
    <w:p>
      <w:pPr>
        <w:pStyle w:val="Normal"/>
        <w:keepNext w:val="true"/>
        <w:numPr>
          <w:ilvl w:val="0"/>
          <w:numId w:val="0"/>
        </w:numPr>
        <w:spacing w:lineRule="auto" w:line="264" w:before="0" w:after="0"/>
        <w:ind w:hanging="357"/>
        <w:contextualSpacing/>
        <w:jc w:val="center"/>
        <w:outlineLvl w:val="3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4   WYNAGRODZENIE I PŁATNOŚCI</w:t>
      </w:r>
    </w:p>
    <w:p>
      <w:pPr>
        <w:pStyle w:val="Normal"/>
        <w:numPr>
          <w:ilvl w:val="0"/>
          <w:numId w:val="2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Wynagrodzenie za wykonanie przedmiotu umowy określa się łącznie na kwotę: </w:t>
      </w:r>
    </w:p>
    <w:p>
      <w:pPr>
        <w:pStyle w:val="Normal"/>
        <w:spacing w:lineRule="auto" w:line="264" w:before="0" w:after="0"/>
        <w:ind w:hanging="357"/>
        <w:contextualSpacing/>
        <w:jc w:val="both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……………</w:t>
      </w: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..… zł netto plus należny podatek VAT w kwocie ………... zł,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tj. brutto: ………..….. zł (słownie: ………..……… zł ).</w:t>
      </w:r>
    </w:p>
    <w:p>
      <w:pPr>
        <w:pStyle w:val="Normal"/>
        <w:numPr>
          <w:ilvl w:val="0"/>
          <w:numId w:val="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Wynagrodzenie Wykonawcy obejmuje wszelkie koszty związane z wykonaniem przedmiotu umowy i ma charakter ryczałtowy.</w:t>
      </w:r>
    </w:p>
    <w:p>
      <w:pPr>
        <w:pStyle w:val="Normal"/>
        <w:numPr>
          <w:ilvl w:val="0"/>
          <w:numId w:val="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Protokół, o którym mowa w § 3 ust. 3 stanowi podstawę do wystawienia przez Wykonawcę faktury. </w:t>
      </w:r>
    </w:p>
    <w:p>
      <w:pPr>
        <w:pStyle w:val="Normal"/>
        <w:numPr>
          <w:ilvl w:val="0"/>
          <w:numId w:val="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Należne płatności za realizację przedmiotu zamówienia będą dokonane na rachunek Wykonawcy wskazany w treści faktury VAT.</w:t>
      </w:r>
    </w:p>
    <w:p>
      <w:pPr>
        <w:pStyle w:val="Normal"/>
        <w:numPr>
          <w:ilvl w:val="0"/>
          <w:numId w:val="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Faktura Wykonawcy zostanie uregulowana przelewem w terminie do 21 dni od daty jej złożenia prawidłowo wystawionej faktury w siedzibie Zamawiającego. W razie opóźnienia w zapłacie wynagrodzenia, Wykonawca ma prawo do naliczania odsetek ustawowych.</w:t>
      </w:r>
    </w:p>
    <w:p>
      <w:pPr>
        <w:pStyle w:val="Normal"/>
        <w:numPr>
          <w:ilvl w:val="0"/>
          <w:numId w:val="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Faktura za zleconą usługę zostanie wystawiona na Powiat Miechowski </w:t>
      </w: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  <w:t>według następującego schematu:</w:t>
      </w:r>
    </w:p>
    <w:p>
      <w:pPr>
        <w:pStyle w:val="ListParagraph"/>
        <w:numPr>
          <w:ilvl w:val="0"/>
          <w:numId w:val="9"/>
        </w:numPr>
        <w:tabs>
          <w:tab w:val="clear" w:pos="708"/>
          <w:tab w:val="left" w:pos="360" w:leader="none"/>
        </w:tabs>
        <w:spacing w:lineRule="auto" w:line="264" w:before="0" w:after="0"/>
        <w:ind w:left="0" w:hanging="357"/>
        <w:contextualSpacing/>
        <w:jc w:val="both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  <w:t xml:space="preserve">Nabywca: </w:t>
        <w:tab/>
        <w:t>Powiat Miechowski, ul. Racławicka 12, 32-200 Miechów NIP 659-154-58-68,</w:t>
      </w:r>
    </w:p>
    <w:p>
      <w:pPr>
        <w:pStyle w:val="ListParagraph"/>
        <w:numPr>
          <w:ilvl w:val="0"/>
          <w:numId w:val="9"/>
        </w:numPr>
        <w:tabs>
          <w:tab w:val="clear" w:pos="708"/>
          <w:tab w:val="left" w:pos="426" w:leader="none"/>
        </w:tabs>
        <w:spacing w:lineRule="auto" w:line="264" w:before="0" w:after="0"/>
        <w:ind w:left="0" w:hanging="357"/>
        <w:contextualSpacing/>
        <w:jc w:val="both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  <w:t xml:space="preserve">Odbiorca: </w:t>
        <w:tab/>
        <w:t>Dom Pomocy Społecznej w Miechowie, ul. Warszawska 49a, 32-200 Miechów.</w:t>
      </w:r>
    </w:p>
    <w:p>
      <w:pPr>
        <w:pStyle w:val="ListParagraph"/>
        <w:numPr>
          <w:ilvl w:val="0"/>
          <w:numId w:val="3"/>
        </w:numPr>
        <w:tabs>
          <w:tab w:val="clear" w:pos="708"/>
          <w:tab w:val="left" w:pos="426" w:leader="none"/>
        </w:tabs>
        <w:spacing w:lineRule="auto" w:line="264" w:before="0" w:after="0"/>
        <w:ind w:left="0" w:hanging="357"/>
        <w:contextualSpacing/>
        <w:jc w:val="both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  <w:t>Strony zgodnie umawiają się, iż rachunek bankowy, wskazywany przez Wykonawcę, jako właściwy do uiszczenia płatności wynikających z Umowy i ujawniony na wystawionej przez Wykonawcę fakturze, na dzień każdej płatności wynikającej z Umowy znajdować się będzie w „Wykazie podmiotów zarejestrowanych jako podatnicy VAT, niezarejestrowanych oraz wykreślonych i przywróconych do rejestru VAT” prowadzonym przez Szefa Krajowej Administracji Skarbowej (zwany dalej „Wykazem”) jako rachunek rozliczeniowy Wykonawcy. Strony zgodnie umawiają się, że w przypadku, gdy rachunek bankowy, wskazany przez Wykonawcę jako właściwy do uiszczenia płatności wynikających z wystawianych przez Wykonawcę w związku z Umową faktur (VAT), na dzień którejkolwiek płatności wynikającej z Umowy nie będzie znajdować się w Wykazie jako rachunek rozliczeniowy Wykonawcy, Zamawiający jest uprawniony do wstrzymania płatności wierzytelności wynikających z faktur wystawionych przez Wykonawcę. W przypadku opisanym w zdaniu poprzedzającym, płatność nastąpi nie później niż w terminie 10  (dziesięciu) dni od dnia poinformowania Zamawiającego o ujawnieniu rachunku bankowego w Wykazie lub wskazania innego rachunku ujawnionego w Wykazie. Wstrzymanie płatności z podanych wyżej przyczyn, nie stanowi nieterminowości rodzącej obowiązek zapłaty przez Zamawiającego jakichkolwiek odsetek, w tym ustawowych za opóźnienie, ani nie daje podstawy do skorzystania przez Wykonawcę z jakichkolwiek  uprawnień wskazanych w Umowie.</w:t>
      </w:r>
    </w:p>
    <w:p>
      <w:pPr>
        <w:pStyle w:val="Normal"/>
        <w:spacing w:lineRule="auto" w:line="264" w:before="0" w:after="0"/>
        <w:ind w:hanging="357"/>
        <w:contextualSpacing/>
        <w:jc w:val="center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5   GWARANCJA</w:t>
      </w:r>
    </w:p>
    <w:p>
      <w:pPr>
        <w:pStyle w:val="Normal"/>
        <w:numPr>
          <w:ilvl w:val="0"/>
          <w:numId w:val="4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Wykonawca udziela Zamawiającemu gwarancji jakości na przekazaną dokumentację stanowiącą przedmiot niniejszej umowy na 24 miesiące.</w:t>
      </w:r>
    </w:p>
    <w:p>
      <w:pPr>
        <w:pStyle w:val="Normal"/>
        <w:numPr>
          <w:ilvl w:val="0"/>
          <w:numId w:val="4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Wykonawca gwarantuje, że przedmiot umowy jest wolny od wad.</w:t>
      </w:r>
    </w:p>
    <w:p>
      <w:pPr>
        <w:pStyle w:val="Normal"/>
        <w:numPr>
          <w:ilvl w:val="0"/>
          <w:numId w:val="4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 okresie gwarancji Wykonawca jest obowiązany do nieodpłatnego usuwania wad ujawnionych po dostarczeniu przedmiotu umowy, w terminie 7 dni od daty otrzymania zawiadomienia o ujawnionych usterkach.</w:t>
      </w:r>
    </w:p>
    <w:p>
      <w:pPr>
        <w:pStyle w:val="Normal"/>
        <w:numPr>
          <w:ilvl w:val="0"/>
          <w:numId w:val="4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Nie udzielenie odpowiedzi na reklamację w terminie określonym w § 5 ust. 3 równoznaczne jest z jej uwzględnieniem.</w:t>
      </w:r>
    </w:p>
    <w:p>
      <w:pPr>
        <w:pStyle w:val="Normal"/>
        <w:numPr>
          <w:ilvl w:val="0"/>
          <w:numId w:val="4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Zamawiający ma prawo obciążyć Wykonawcę wszelkimi kosztami usunięcia wad                        w ramach wykonawstwa zastępczego, jeżeli Wykonawca nie przystąpi do ich usunięcia                                                                  w terminie określonym wyżej, bądź usunie je nieskutecznie.</w:t>
      </w:r>
    </w:p>
    <w:p>
      <w:pPr>
        <w:pStyle w:val="Normal"/>
        <w:numPr>
          <w:ilvl w:val="0"/>
          <w:numId w:val="4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Niezależnie od uprawnień przysługujących Zamawiającemu z tytułu udzielonej gwarancji jakości, Zamawiającemu służyć będą uprawnienia z tytułu rękojmi za wady dokumentacji projektowej stanowiącej przedmiot umowy.</w:t>
      </w:r>
    </w:p>
    <w:p>
      <w:pPr>
        <w:pStyle w:val="Normal"/>
        <w:numPr>
          <w:ilvl w:val="0"/>
          <w:numId w:val="4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Wszelkie braki, wady i usterki przedmiotu umowy Wykonawca ma obowiązek usunąć nieodpłatnie.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</w:r>
    </w:p>
    <w:p>
      <w:pPr>
        <w:pStyle w:val="Normal"/>
        <w:tabs>
          <w:tab w:val="left" w:pos="708" w:leader="none"/>
          <w:tab w:val="center" w:pos="4536" w:leader="none"/>
          <w:tab w:val="right" w:pos="9072" w:leader="none"/>
        </w:tabs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6  KARY UMOWNE</w:t>
      </w:r>
    </w:p>
    <w:p>
      <w:pPr>
        <w:pStyle w:val="Normal"/>
        <w:numPr>
          <w:ilvl w:val="0"/>
          <w:numId w:val="5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Wykonawca zobowiązany jest do zapłaty Zamawiającemu kar umownych:</w:t>
      </w:r>
    </w:p>
    <w:p>
      <w:pPr>
        <w:pStyle w:val="Normal"/>
        <w:numPr>
          <w:ilvl w:val="0"/>
          <w:numId w:val="6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za zwłokę w wykonaniu przedmiotu niniejszej umowy w wysokości 0,5 % wynagrodzenia umownego „netto” za każdy dzień zwłoki, licząc od umownego terminu jego dostarczenia,</w:t>
      </w:r>
    </w:p>
    <w:p>
      <w:pPr>
        <w:pStyle w:val="Normal"/>
        <w:numPr>
          <w:ilvl w:val="0"/>
          <w:numId w:val="6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za zwłokę w usunięciu niekompletności, przedmiotu umowy, o którym mowa w§ 3 ust. 4, w wysokości 0,2% wynagrodzenia umownego „netto” za każdy dzień zwłoki, licząc od umownego terminu ich usunięcia,</w:t>
      </w:r>
    </w:p>
    <w:p>
      <w:pPr>
        <w:pStyle w:val="Normal"/>
        <w:numPr>
          <w:ilvl w:val="0"/>
          <w:numId w:val="6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za odstąpienie od umowy przez którąkolwiek ze Stron, z przyczyn, za które ponosi odpowiedzialność Wykonawca – w wysokości 20 % wynagrodzenia umownego „netto”.</w:t>
      </w:r>
    </w:p>
    <w:p>
      <w:pPr>
        <w:pStyle w:val="Normal"/>
        <w:numPr>
          <w:ilvl w:val="0"/>
          <w:numId w:val="5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Zamawiający zastrzega sobie prawo dochodzenia odszkodowania uzupełniającego, na zasadach ogólnych, do wysokości faktycznie poniesionej szkody. Kara umowna może zostać potrącona z wynagrodzenia należnego Wykonawcy, a w razie braku możliwości potrącenia płatna będzie w ciągu 7 dni od otrzymania przez Wykonawcę noty obciążeniowej. </w:t>
      </w:r>
    </w:p>
    <w:p>
      <w:pPr>
        <w:pStyle w:val="Normal"/>
        <w:tabs>
          <w:tab w:val="clear" w:pos="708"/>
          <w:tab w:val="left" w:pos="-142" w:leader="none"/>
        </w:tabs>
        <w:spacing w:lineRule="auto" w:line="264" w:before="0" w:after="0"/>
        <w:ind w:hanging="357"/>
        <w:contextualSpacing/>
        <w:jc w:val="both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</w:r>
    </w:p>
    <w:p>
      <w:pPr>
        <w:pStyle w:val="Normal"/>
        <w:tabs>
          <w:tab w:val="clear" w:pos="708"/>
          <w:tab w:val="left" w:pos="720" w:leader="none"/>
          <w:tab w:val="left" w:pos="1440" w:leader="none"/>
        </w:tabs>
        <w:overflowPunct w:val="true"/>
        <w:spacing w:lineRule="auto" w:line="264" w:before="0" w:after="0"/>
        <w:ind w:hanging="357"/>
        <w:contextualSpacing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7    ODSTĄPIENIE OD UMOWY</w:t>
      </w:r>
    </w:p>
    <w:p>
      <w:pPr>
        <w:pStyle w:val="ListParagraph"/>
        <w:numPr>
          <w:ilvl w:val="0"/>
          <w:numId w:val="10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Strony postanawiają, że od przypadków wynikających z powszechnie obowiązujących przepisów prawa, Zamawiającemu przysługuje prawo odstąpienia od umowy w następujących wypadkach : </w:t>
      </w:r>
    </w:p>
    <w:p>
      <w:pPr>
        <w:pStyle w:val="ListParagraph"/>
        <w:numPr>
          <w:ilvl w:val="0"/>
          <w:numId w:val="12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w</w:t>
      </w: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 razie wystąpienia istotnej zmiany okoliczności powodującej, że wykonanie umowy nie leży  w interesie publicznym, czego nie można było przewidzieć w chwili zawarcia umowy; odstąpienie od umowy w tym wypadku może nastąpić w terminie 30 dni od powzięcia wiadomości  o powyższych okolicznościach; </w:t>
      </w:r>
    </w:p>
    <w:p>
      <w:pPr>
        <w:pStyle w:val="ListParagraph"/>
        <w:numPr>
          <w:ilvl w:val="0"/>
          <w:numId w:val="12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Wykonawca nie rozpoczął prac lub przerwał je bez uzasadnionych przyczyn i nie realizuje  ich przez okres co najmniej 15 dni, pomimo wezwania Zamawiającego złożonego na piśmie. </w:t>
      </w:r>
    </w:p>
    <w:p>
      <w:pPr>
        <w:pStyle w:val="ListParagraph"/>
        <w:numPr>
          <w:ilvl w:val="0"/>
          <w:numId w:val="5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 razie ustania obowiązywania Umowy: </w:t>
      </w:r>
    </w:p>
    <w:p>
      <w:pPr>
        <w:pStyle w:val="ListParagraph"/>
        <w:numPr>
          <w:ilvl w:val="0"/>
          <w:numId w:val="11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 mocy pozostają postanowienia dotyczące  kary umownych, uprawniające Zamawiającego do naliczenia kar umownych, naliczonych do czasu ustania obowiązywania Umowy w całości, </w:t>
      </w:r>
    </w:p>
    <w:p>
      <w:pPr>
        <w:pStyle w:val="ListParagraph"/>
        <w:numPr>
          <w:ilvl w:val="0"/>
          <w:numId w:val="11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Zamawiający zachowuje wszelkie roszczenia nabyte przez Zamawiającego wobec Wykonawcy przed ustaniem obowiązywania Umowy.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8   ZMIANY UMOWY</w:t>
      </w:r>
    </w:p>
    <w:p>
      <w:pPr>
        <w:pStyle w:val="Normal"/>
        <w:numPr>
          <w:ilvl w:val="0"/>
          <w:numId w:val="17"/>
        </w:numPr>
        <w:suppressAutoHyphens w:val="true"/>
        <w:overflowPunct w:val="true"/>
        <w:spacing w:lineRule="auto" w:line="264" w:before="0" w:after="0"/>
        <w:ind w:left="-357" w:hanging="0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Zmiana postanowień zawartej umowy może nastąpić wyłącznie za zgodą obu stron, wyrażoną w formie pisemnego aneksu pod rygorem nieważności.</w:t>
      </w:r>
    </w:p>
    <w:p>
      <w:pPr>
        <w:pStyle w:val="Normal"/>
        <w:numPr>
          <w:ilvl w:val="0"/>
          <w:numId w:val="17"/>
        </w:numPr>
        <w:suppressAutoHyphens w:val="true"/>
        <w:overflowPunct w:val="true"/>
        <w:spacing w:lineRule="auto" w:line="264" w:before="0" w:after="0"/>
        <w:ind w:left="-357" w:hanging="0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Podstawą do zmiany terminu wykonania przedmiotu umowy mogą być okoliczności, które wpływają na możliwość realizacji przedmiotu umowy, a za które </w:t>
      </w: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Wykonawca</w:t>
      </w: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 nie ponosi odpowiedzialności.</w:t>
      </w:r>
    </w:p>
    <w:p>
      <w:pPr>
        <w:pStyle w:val="Normal"/>
        <w:numPr>
          <w:ilvl w:val="0"/>
          <w:numId w:val="0"/>
        </w:numPr>
        <w:overflowPunct w:val="true"/>
        <w:spacing w:lineRule="auto" w:line="264" w:before="0" w:after="0"/>
        <w:ind w:hanging="357"/>
        <w:contextualSpacing/>
        <w:jc w:val="center"/>
        <w:outlineLvl w:val="7"/>
        <w:rPr>
          <w:rFonts w:ascii="Times New Roman" w:hAnsi="Times New Roman" w:eastAsia="Times New Roman" w:cs="Times New Roman"/>
          <w:b/>
          <w:b/>
          <w:iCs/>
          <w:color w:val="000000"/>
          <w:sz w:val="24"/>
          <w:szCs w:val="24"/>
          <w:lang w:eastAsia="pl-PL"/>
        </w:rPr>
      </w:pPr>
      <w:r>
        <w:rPr/>
      </w:r>
    </w:p>
    <w:p>
      <w:pPr>
        <w:pStyle w:val="Normal"/>
        <w:numPr>
          <w:ilvl w:val="0"/>
          <w:numId w:val="0"/>
        </w:numPr>
        <w:overflowPunct w:val="true"/>
        <w:spacing w:lineRule="auto" w:line="264" w:before="0" w:after="0"/>
        <w:ind w:hanging="357"/>
        <w:contextualSpacing/>
        <w:jc w:val="center"/>
        <w:outlineLvl w:val="7"/>
        <w:rPr>
          <w:rFonts w:ascii="Times New Roman" w:hAnsi="Times New Roman" w:eastAsia="Times New Roman" w:cs="Times New Roman"/>
          <w:b/>
          <w:b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iCs/>
          <w:color w:val="000000"/>
          <w:sz w:val="24"/>
          <w:szCs w:val="24"/>
          <w:lang w:eastAsia="pl-PL"/>
        </w:rPr>
        <w:t xml:space="preserve">§ 9 PRAWA AUTORSKIE </w:t>
      </w:r>
    </w:p>
    <w:p>
      <w:pPr>
        <w:pStyle w:val="ListParagraph"/>
        <w:numPr>
          <w:ilvl w:val="0"/>
          <w:numId w:val="14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/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Z zastrzeżeniem postanowień ust. 4 niniejszego paragrafu, w dniu udostępnienia Zamawiającemu w jakiejkolwiek formie, jakiejkolwiek części, jakiegokolwiek wytworu Wykonawcy lub osoby trzeciej działającej na zlecenie Wykonawcy, stworzonego w związku z wykonywaniem Przedmiotu umowy, stanowiącego utwór w rozumieniu ustawy z dnia 4 lutego 1994 r. o prawie autorskim i prawach pokrewnych (dalej również jako: „Utwór”), Zamawiający nabywa od Wykonawcy własność nośników oraz całość autorskich praw majątkowych do Utworu, zarówno w zakresie korzystania, jak i rozporządzania Utworem, z wyłączeniem tych utworów, do których Zamawiającemu przysługują już autorskie prawa majątkowe. W chwili wskazanej w zdaniu poprzedzającym Wykonawca musi być podmiotem całości autorskich praw majątkowych do utworów, o których mowa w ust. 1 niniejszego paragrafu, i być uprawnionym do przeniesienia wszelkich praw do nich na Zamawiającego. </w:t>
      </w:r>
    </w:p>
    <w:p>
      <w:pPr>
        <w:pStyle w:val="ListParagraph"/>
        <w:numPr>
          <w:ilvl w:val="0"/>
          <w:numId w:val="14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Z zastrzeżeniem postanowień ust. 4 niniejszego paragrafu, mocą Umowy, w chwili wskazanej w ust. 1 zdanie pierwsze niniejszego paragrafu, Wykonawca przenosi na Zamawiającego autorskie prawa majątkowe do Utworu (Utworów), na następujących polach eksploatacji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/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utrwalanie i zwielokrotnianie Utworu dowolną techniką - w szczególności techniką: drukarską, reprograficzną, zapisu magnetycznego oraz cyfrową;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utrwalanie i zwielokrotnianie Utworu w dowolnej formie - w szczególności w formie kopii graficznej, kserograficznej, fotokopii, w formie elektronicznej;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zmniejszanie i powiększanie Utworu, łączenie z innymi utworami, oznaczeniami, tekstami, elementami oraz wykonywanie opracowań utworu i wprowadzanie innych zmian w utworze;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wprowadzanie do obrotu oryginałów albo egzemplarzy Utworu, jego opracowań i zmienionych wersji, w dowolny sposób, w dowolnej ilości i formie;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digitalizacji, wprowadzania i zapisywania w pamięci komputera;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wprowadzania do sieci teleinformatycznych, w szczególności do sieci Internet oraz rozpowszechnianie drogą elektroniczną;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>najmu, dzierżawy, użyczania oraz oddawania w inne formy używania oryginałów albo egzemplarzy Utworu;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nadawania za pomocą wizji lub fonii przewodowej albo bezprzewodowej przez stację naziemną;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nadawanie za pośrednictwem satelity;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zamieszczanie Utworu w korespondencji, dokumentach i wszelkich wydawnictwach oraz rozpowszechnianie Utworu tą drogą;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rozpowszechniania, w tym: odtworzenia, nadawania, reemitowania, rozpowszechniania poprzez udostępnienie Utworu w taki sposób, by każdy mógł mieć do niego dostęp w miejscu i w czasie przez siebie wybranym;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publikacji we wszelkiego rodzaju prasie, czasopismach i środkach masowego przekazu, sieci Internet oraz innych środkach przekazu, a także wszelkie inne formy publikacji i publicznego udostępniania;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wykorzystywania w celu budowy, wykonywania napraw, konserwacji, przebudowy, nadbudowy, rozbudowy lub remontu infrastruktury telekomunikacyjnej, w tym w celu uzyskania odpowiednich pozwoleń, zezwoleń, zgód, uzgodnień, opinii lub zgłoszeń w celu dokonania tych czynności;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zezwalania na wykonywanie zależnego prawa autorskiego, udzielania licencji wyłącznej lub niewyłącznej (wedle wyboru Zamawiającego) na korzystanie z Utworu innym podmiotom oraz zbywania wszelkich praw do utworu, </w:t>
      </w:r>
    </w:p>
    <w:p>
      <w:pPr>
        <w:pStyle w:val="ListParagraph"/>
        <w:numPr>
          <w:ilvl w:val="0"/>
          <w:numId w:val="15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sporządzania opracowań Utworu. </w:t>
      </w:r>
    </w:p>
    <w:p>
      <w:pPr>
        <w:pStyle w:val="ListParagraph"/>
        <w:numPr>
          <w:ilvl w:val="0"/>
          <w:numId w:val="14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Przeniesienie na Zamawiającego autorskich praw majątkowych, o których mowa powyżej obejmuje także przewidziane w art. 2 ust. 2 i art. 46 ustawy z dnia 4 lutego 1994 r. o prawie autorskim i prawach pokrewnych prawo zezwalania na wykonywanie zależnego prawa autorskiego, a także przewidziane w art. 49 ust. 2 powołanej ustawy prawo dokonywania zmian w utworach oraz wyrażania zgody na dokonywanie zmian w utworach przez osoby trzecie. Zamawiający będzie zatem uprawniony również do: </w:t>
      </w:r>
    </w:p>
    <w:p>
      <w:pPr>
        <w:pStyle w:val="ListParagraph"/>
        <w:numPr>
          <w:ilvl w:val="0"/>
          <w:numId w:val="16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/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dokonywania opracowań wszelkich Utworów, w szczególności w postaci tłumaczeń, przeróbek, adaptacji, przy czym rozporządzanie i korzystanie z opracowań nie będzie uzależnione od zezwolenia Wykonawcy lub innego podmiotu, a decyzje w zakresie rozporządzania i korzystania z opracowań Utworów należeć będą wyłącznie do Zamawiającego; </w:t>
      </w:r>
    </w:p>
    <w:p>
      <w:pPr>
        <w:pStyle w:val="ListParagraph"/>
        <w:numPr>
          <w:ilvl w:val="0"/>
          <w:numId w:val="16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>wprowadzania w utworach zmian uzasadnionych koniecznością zapewnienia spełniania przez utwory ich funkcji użytkowej .</w:t>
      </w:r>
    </w:p>
    <w:p>
      <w:pPr>
        <w:pStyle w:val="ListParagraph"/>
        <w:numPr>
          <w:ilvl w:val="0"/>
          <w:numId w:val="14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Wynagrodzenie: a) z tytułu przeniesienia własności nośników i b) wszelkich autorskich praw majątkowych, o których mowa powyżej, do Utworów na każdym polu eksploatacji zostało uwzględnione w kwocie wynagrodzenia należnego Wykonawcy wskazanego w § 4 Umowy.  </w:t>
      </w:r>
    </w:p>
    <w:p>
      <w:pPr>
        <w:pStyle w:val="ListParagraph"/>
        <w:numPr>
          <w:ilvl w:val="0"/>
          <w:numId w:val="14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W dniu przekazania Utworu Zamawiający nabywa również od Wykonawcy własność nośników oraz prawo do korzystania i rozporządzania wszelkimi przekazanymi elementami i dokumentami, które nie stanowią utworów w rozumieniu przepisów ustawy z dnia 4 lutego 1994 r. o prawie autorskim i prawach pokrewnych. Postanowienia ust. 1-5 niniejszego paragrafu stosuje się odpowiednio, </w:t>
      </w:r>
    </w:p>
    <w:p>
      <w:pPr>
        <w:pStyle w:val="ListParagraph"/>
        <w:numPr>
          <w:ilvl w:val="0"/>
          <w:numId w:val="14"/>
        </w:numPr>
        <w:overflowPunct w:val="true"/>
        <w:spacing w:lineRule="auto" w:line="264" w:before="0" w:after="0"/>
        <w:ind w:left="0" w:hanging="357"/>
        <w:contextualSpacing/>
        <w:jc w:val="both"/>
        <w:outlineLvl w:val="7"/>
        <w:rPr>
          <w:rFonts w:ascii="Times New Roman" w:hAnsi="Times New Roman" w:eastAsia="Times New Roman" w:cs="Times New Roman"/>
          <w:bCs/>
          <w:i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Cs/>
          <w:color w:val="000000"/>
          <w:sz w:val="24"/>
          <w:szCs w:val="24"/>
          <w:lang w:eastAsia="pl-PL"/>
        </w:rPr>
        <w:t xml:space="preserve">Wykonawca oświadcza, że przeniesienie na Zamawiającego autorskich praw majątkowych, jak również udzielenie licencji, w trybie i zakresie przewidzianym w niniejszym paragrafie oraz wykonywanie przez Zamawiającego tych praw nie naruszy jakichkolwiek praw osób trzecich. W przypadku wystąpienia przez osoby trzecie z roszczeniami wobec Zamawiającego z tytułu naruszenia praw autorskich lub praw pokrewnych, Wykonawca zobowiązany jest zwolnić Zamawiającego z odpowiedzialności, jak również naprawić szkodę poniesioną przez Zamawiającego.  </w:t>
      </w:r>
    </w:p>
    <w:p>
      <w:pPr>
        <w:pStyle w:val="Normal"/>
        <w:numPr>
          <w:ilvl w:val="0"/>
          <w:numId w:val="0"/>
        </w:numPr>
        <w:overflowPunct w:val="true"/>
        <w:spacing w:lineRule="auto" w:line="264" w:before="0" w:after="0"/>
        <w:ind w:hanging="357"/>
        <w:contextualSpacing/>
        <w:jc w:val="center"/>
        <w:outlineLvl w:val="7"/>
        <w:rPr>
          <w:rFonts w:ascii="Times New Roman" w:hAnsi="Times New Roman" w:eastAsia="Times New Roman" w:cs="Times New Roman"/>
          <w:b/>
          <w:b/>
          <w:iCs/>
          <w:color w:val="000000"/>
          <w:sz w:val="24"/>
          <w:szCs w:val="24"/>
          <w:lang w:eastAsia="pl-PL"/>
        </w:rPr>
      </w:pPr>
      <w:r>
        <w:rPr/>
      </w:r>
    </w:p>
    <w:p>
      <w:pPr>
        <w:pStyle w:val="Normal"/>
        <w:numPr>
          <w:ilvl w:val="0"/>
          <w:numId w:val="0"/>
        </w:numPr>
        <w:overflowPunct w:val="true"/>
        <w:spacing w:lineRule="auto" w:line="264" w:before="0" w:after="0"/>
        <w:ind w:hanging="357"/>
        <w:contextualSpacing/>
        <w:jc w:val="center"/>
        <w:outlineLvl w:val="7"/>
        <w:rPr>
          <w:rFonts w:ascii="Times New Roman" w:hAnsi="Times New Roman" w:eastAsia="Times New Roman" w:cs="Times New Roman"/>
          <w:b/>
          <w:b/>
          <w:i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iCs/>
          <w:color w:val="000000"/>
          <w:sz w:val="24"/>
          <w:szCs w:val="24"/>
          <w:lang w:eastAsia="pl-PL"/>
        </w:rPr>
        <w:t xml:space="preserve">§ 10   </w:t>
      </w:r>
      <w:r>
        <w:rPr>
          <w:rFonts w:eastAsia="Times New Roman" w:cs="Times New Roman" w:ascii="Times New Roman" w:hAnsi="Times New Roman"/>
          <w:b/>
          <w:iCs/>
          <w:sz w:val="24"/>
          <w:szCs w:val="24"/>
          <w:lang w:eastAsia="pl-PL"/>
        </w:rPr>
        <w:t>POSTANOWIENIA KOŃCOWE</w:t>
      </w:r>
    </w:p>
    <w:p>
      <w:pPr>
        <w:pStyle w:val="ListParagraph"/>
        <w:numPr>
          <w:ilvl w:val="0"/>
          <w:numId w:val="1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Wykonawca może przenieść swoje obowiązki wynikające z Umowy tylko i wyłącznie za uprzednią pisemną, pod rygorem nieważności, zgodą Zamawiającego.  </w:t>
      </w:r>
    </w:p>
    <w:p>
      <w:pPr>
        <w:pStyle w:val="ListParagraph"/>
        <w:numPr>
          <w:ilvl w:val="0"/>
          <w:numId w:val="1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Cesja wierzytelności Wykonawcy wobec Zamawiającego z Umowy wynikających jest zakazana, chyba że Zamawiający wyrazi na cesję uprzednią zgodę pod rygorem nieważności. </w:t>
      </w:r>
    </w:p>
    <w:p>
      <w:pPr>
        <w:pStyle w:val="ListParagraph"/>
        <w:numPr>
          <w:ilvl w:val="0"/>
          <w:numId w:val="1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Oświadczenia Stron dotyczące Umowy powinny być składane w formie pisemnej pod rygorem nieważności takiego oświadczenia, chyba że Strony w Umowie wyraźnie inaczej. </w:t>
      </w:r>
    </w:p>
    <w:p>
      <w:pPr>
        <w:pStyle w:val="ListParagraph"/>
        <w:numPr>
          <w:ilvl w:val="0"/>
          <w:numId w:val="1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W sprawach nieuregulowanych niniejszą umową, zastosowanie mają przepisy kodeksu cywilnego.  </w:t>
      </w:r>
    </w:p>
    <w:p>
      <w:pPr>
        <w:pStyle w:val="ListParagraph"/>
        <w:numPr>
          <w:ilvl w:val="0"/>
          <w:numId w:val="1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Spory wynikłe na tle realizacji niniejszej umowy rozstrzygać będzie sąd właściwy miejscowo  i rzeczowo dla siedziby Zamawiającego.</w:t>
      </w:r>
    </w:p>
    <w:p>
      <w:pPr>
        <w:pStyle w:val="ListParagraph"/>
        <w:numPr>
          <w:ilvl w:val="0"/>
          <w:numId w:val="13"/>
        </w:numPr>
        <w:overflowPunct w:val="true"/>
        <w:spacing w:lineRule="auto" w:line="264" w:before="0" w:after="0"/>
        <w:ind w:left="0" w:hanging="357"/>
        <w:contextualSpacing/>
        <w:jc w:val="both"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Załączniki stanowią integralną część niniejszej Umowy. 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/>
          <w:b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sz w:val="24"/>
          <w:szCs w:val="24"/>
          <w:lang w:eastAsia="pl-PL"/>
        </w:rPr>
        <w:t>§ 11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textAlignment w:val="baseline"/>
        <w:rPr/>
      </w:pP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Niniejsza umowa została sporządzona w </w:t>
      </w: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dwóch</w:t>
      </w: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  jednobrzmiących egzemplarzach, </w:t>
      </w: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>po jednym egzemplarzu dla stron</w:t>
      </w:r>
      <w:r>
        <w:rPr>
          <w:rFonts w:eastAsia="Times New Roman" w:cs="Times New Roman" w:ascii="Times New Roman" w:hAnsi="Times New Roman"/>
          <w:bCs/>
          <w:sz w:val="24"/>
          <w:szCs w:val="24"/>
          <w:lang w:eastAsia="pl-PL"/>
        </w:rPr>
        <w:t xml:space="preserve">.  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textAlignment w:val="baseline"/>
        <w:rPr>
          <w:rFonts w:ascii="Times New Roman" w:hAnsi="Times New Roman" w:eastAsia="Times New Roman" w:cs="Times New Roman"/>
          <w:bCs/>
          <w:sz w:val="24"/>
          <w:szCs w:val="24"/>
          <w:lang w:eastAsia="pl-PL"/>
        </w:rPr>
      </w:pPr>
      <w:r>
        <w:rPr/>
      </w:r>
    </w:p>
    <w:p>
      <w:pPr>
        <w:pStyle w:val="Normal"/>
        <w:overflowPunct w:val="true"/>
        <w:spacing w:lineRule="auto" w:line="264" w:before="0" w:after="0"/>
        <w:ind w:hanging="357"/>
        <w:contextualSpacing/>
        <w:textAlignment w:val="baseline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sz w:val="24"/>
          <w:szCs w:val="24"/>
          <w:lang w:eastAsia="pl-PL"/>
        </w:rPr>
        <w:t>..................................</w:t>
        <w:tab/>
        <w:tab/>
        <w:tab/>
        <w:tab/>
        <w:t xml:space="preserve">                                               .................................</w:t>
      </w:r>
    </w:p>
    <w:p>
      <w:pPr>
        <w:pStyle w:val="Normal"/>
        <w:overflowPunct w:val="true"/>
        <w:spacing w:lineRule="auto" w:line="264" w:before="0" w:after="0"/>
        <w:ind w:hanging="357"/>
        <w:contextualSpacing/>
        <w:jc w:val="center"/>
        <w:textAlignment w:val="baseline"/>
        <w:rPr>
          <w:rFonts w:ascii="Times New Roman" w:hAnsi="Times New Roman" w:eastAsia="Times New Roman" w:cs="Times New Roman"/>
          <w:bCs/>
          <w:i/>
          <w:i/>
          <w:color w:val="000000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Cs/>
          <w:i/>
          <w:color w:val="000000"/>
          <w:sz w:val="24"/>
          <w:szCs w:val="24"/>
          <w:lang w:eastAsia="pl-PL"/>
        </w:rPr>
        <w:t xml:space="preserve">    </w:t>
      </w:r>
      <w:r>
        <w:rPr>
          <w:rFonts w:eastAsia="Times New Roman" w:cs="Times New Roman" w:ascii="Times New Roman" w:hAnsi="Times New Roman"/>
          <w:bCs/>
          <w:i/>
          <w:color w:val="000000"/>
          <w:sz w:val="24"/>
          <w:szCs w:val="24"/>
          <w:lang w:eastAsia="pl-PL"/>
        </w:rPr>
        <w:t xml:space="preserve">Wykonawca </w:t>
        <w:tab/>
        <w:tab/>
        <w:tab/>
        <w:tab/>
        <w:tab/>
        <w:tab/>
        <w:tab/>
        <w:tab/>
        <w:t xml:space="preserve"> Zamawiający</w:t>
      </w:r>
    </w:p>
    <w:p>
      <w:pPr>
        <w:pStyle w:val="Normal"/>
        <w:spacing w:lineRule="auto" w:line="264" w:before="0" w:after="0"/>
        <w:ind w:hanging="357"/>
        <w:contextualSpacing/>
        <w:rPr/>
      </w:pPr>
      <w:r>
        <w:rPr/>
      </w:r>
    </w:p>
    <w:sectPr>
      <w:footerReference w:type="default" r:id="rId2"/>
      <w:type w:val="nextPage"/>
      <w:pgSz w:w="11906" w:h="16838"/>
      <w:pgMar w:left="1418" w:right="1418" w:header="0" w:top="567" w:footer="709" w:bottom="766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ind w:right="360" w:hanging="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7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76835" cy="175260"/>
              <wp:effectExtent l="0" t="0" r="0" b="0"/>
              <wp:wrapSquare wrapText="largest"/>
              <wp:docPr id="1" name="Ramka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835" cy="17526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opka"/>
                            <w:pBdr/>
                            <w:rPr/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6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6.05pt;height:13.8pt;mso-wrap-distance-left:0pt;mso-wrap-distance-right:0pt;mso-wrap-distance-top:0pt;mso-wrap-distance-bottom:0pt;margin-top:0.05pt;mso-position-vertical-relative:text;margin-left:447.45pt;mso-position-horizontal:right;mso-position-horizontal-relative:margin">
              <v:fill opacity="0f"/>
              <v:textbox inset="0in,0in,0in,0in">
                <w:txbxContent>
                  <w:p>
                    <w:pPr>
                      <w:pStyle w:val="Stopka"/>
                      <w:pBdr/>
                      <w:rPr/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6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upperRoman"/>
      <w:lvlText w:val="%1."/>
      <w:lvlJc w:val="left"/>
      <w:pPr>
        <w:tabs>
          <w:tab w:val="num" w:pos="567"/>
        </w:tabs>
        <w:ind w:left="624" w:hanging="264"/>
      </w:pPr>
      <w:rPr>
        <w:i w:val="false"/>
        <w:b/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340"/>
      </w:pPr>
      <w:rPr>
        <w:sz w:val="22"/>
        <w:i w:val="false"/>
        <w:b w:val="false"/>
        <w:szCs w:val="22"/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sz w:val="24"/>
        <w:i w:val="false"/>
        <w:b w:val="false"/>
        <w:bCs w:val="false"/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sz w:val="24"/>
        <w:i w:val="false"/>
        <w:b w:val="false"/>
        <w:bCs w:val="false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sz w:val="24"/>
        <w:b w:val="false"/>
        <w:bCs w:val="false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sz w:val="24"/>
        <w:i w:val="false"/>
        <w:b w:val="false"/>
        <w:bCs w:val="false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sz w:val="24"/>
        <w:b w:val="false"/>
        <w:bCs w:val="false"/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454"/>
        </w:tabs>
        <w:ind w:left="454" w:hanging="454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 w:val="false"/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lvl w:ilvl="0">
      <w:start w:val="1"/>
      <w:numFmt w:val="lowerLetter"/>
      <w:lvlText w:val="%1)"/>
      <w:lvlJc w:val="left"/>
      <w:pPr>
        <w:tabs>
          <w:tab w:val="num" w:pos="861"/>
        </w:tabs>
        <w:ind w:left="861" w:hanging="435"/>
      </w:pPr>
      <w:rPr>
        <w:sz w:val="24"/>
        <w:b w:val="false"/>
        <w:bCs w:val="false"/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b w:val="false"/>
        <w:bCs w:val="false"/>
        <w:rFonts w:ascii="Times New Roman" w:hAnsi="Times New Roman" w:eastAsia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color w:val="auto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lvl w:ilvl="0">
      <w:start w:val="1"/>
      <w:numFmt w:val="decimal"/>
      <w:lvlText w:val="%1."/>
      <w:lvlJc w:val="left"/>
      <w:pPr>
        <w:ind w:left="360" w:hanging="36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0"/>
        <w:bCs w:val="false"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lvl w:ilvl="0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874"/>
        </w:tabs>
        <w:ind w:left="874" w:hanging="454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  <w:rPr>
        <w:b w:val="false"/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  <w:rPr>
        <w:rFonts w:cs="Times New Roman"/>
      </w:rPr>
    </w:lvl>
  </w:abstractNum>
  <w:abstractNum w:abstractNumId="12"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42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814"/>
        </w:tabs>
        <w:ind w:left="814" w:hanging="454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b w:val="false"/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3">
    <w:lvl w:ilvl="0">
      <w:start w:val="1"/>
      <w:numFmt w:val="decimal"/>
      <w:lvlText w:val="%1."/>
      <w:lvlJc w:val="left"/>
      <w:pPr>
        <w:ind w:left="720" w:hanging="36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0"/>
        <w:bCs w:val="false"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lvl w:ilvl="0">
      <w:start w:val="1"/>
      <w:numFmt w:val="decimal"/>
      <w:lvlText w:val="%1."/>
      <w:lvlJc w:val="left"/>
      <w:pPr>
        <w:ind w:left="360" w:hanging="36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0"/>
        <w:bCs w:val="false"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lvl w:ilvl="0">
      <w:start w:val="1"/>
      <w:numFmt w:val="lowerLetter"/>
      <w:lvlText w:val="%1)"/>
      <w:lvlJc w:val="left"/>
      <w:pPr>
        <w:ind w:left="720" w:hanging="36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0"/>
        <w:bCs w:val="false"/>
        <w:rFonts w:ascii="Times New Roman" w:hAnsi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lvl w:ilvl="0">
      <w:start w:val="1"/>
      <w:numFmt w:val="lowerLetter"/>
      <w:lvlText w:val="%1)"/>
      <w:lvlJc w:val="left"/>
      <w:pPr>
        <w:ind w:left="720" w:hanging="36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0"/>
        <w:bCs w:val="false"/>
        <w:rFonts w:ascii="Times New Roman" w:hAnsi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18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opkaZnak" w:customStyle="1">
    <w:name w:val="Stopka Znak"/>
    <w:basedOn w:val="DefaultParagraphFont"/>
    <w:link w:val="Stopka"/>
    <w:qFormat/>
    <w:rsid w:val="00c60bb0"/>
    <w:rPr>
      <w:rFonts w:ascii="Times New Roman" w:hAnsi="Times New Roman" w:eastAsia="Times New Roman" w:cs="Times New Roman"/>
      <w:sz w:val="24"/>
      <w:szCs w:val="20"/>
      <w:lang w:eastAsia="pl-PL"/>
    </w:rPr>
  </w:style>
  <w:style w:type="character" w:styleId="Pagenumber">
    <w:name w:val="page number"/>
    <w:basedOn w:val="DefaultParagraphFont"/>
    <w:qFormat/>
    <w:rsid w:val="00c60bb0"/>
    <w:rPr/>
  </w:style>
  <w:style w:type="character" w:styleId="ListLabel1">
    <w:name w:val="ListLabel 1"/>
    <w:qFormat/>
    <w:rPr>
      <w:rFonts w:cs="Times New Roman"/>
      <w:b/>
      <w:i w:val="false"/>
    </w:rPr>
  </w:style>
  <w:style w:type="character" w:styleId="ListLabel2">
    <w:name w:val="ListLabel 2"/>
    <w:qFormat/>
    <w:rPr>
      <w:rFonts w:cs="Times New Roman"/>
      <w:b w:val="false"/>
      <w:i w:val="false"/>
      <w:sz w:val="22"/>
      <w:szCs w:val="22"/>
    </w:rPr>
  </w:style>
  <w:style w:type="character" w:styleId="ListLabel3">
    <w:name w:val="ListLabel 3"/>
    <w:qFormat/>
    <w:rPr>
      <w:rFonts w:ascii="Times New Roman" w:hAnsi="Times New Roman" w:cs="Times New Roman"/>
      <w:b w:val="false"/>
      <w:bCs w:val="false"/>
      <w:i w:val="false"/>
      <w:sz w:val="24"/>
    </w:rPr>
  </w:style>
  <w:style w:type="character" w:styleId="ListLabel4">
    <w:name w:val="ListLabel 4"/>
    <w:qFormat/>
    <w:rPr>
      <w:rFonts w:cs="Times New Roman"/>
    </w:rPr>
  </w:style>
  <w:style w:type="character" w:styleId="ListLabel5">
    <w:name w:val="ListLabel 5"/>
    <w:qFormat/>
    <w:rPr>
      <w:rFonts w:cs="Times New Roman"/>
    </w:rPr>
  </w:style>
  <w:style w:type="character" w:styleId="ListLabel6">
    <w:name w:val="ListLabel 6"/>
    <w:qFormat/>
    <w:rPr>
      <w:rFonts w:cs="Times New Roman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ascii="Times New Roman" w:hAnsi="Times New Roman" w:cs="Times New Roman"/>
      <w:b w:val="false"/>
      <w:bCs w:val="false"/>
      <w:i w:val="false"/>
      <w:sz w:val="24"/>
    </w:rPr>
  </w:style>
  <w:style w:type="character" w:styleId="ListLabel11">
    <w:name w:val="ListLabel 11"/>
    <w:qFormat/>
    <w:rPr>
      <w:rFonts w:ascii="Times New Roman" w:hAnsi="Times New Roman" w:cs="Times New Roman"/>
      <w:b w:val="false"/>
      <w:bCs w:val="false"/>
      <w:sz w:val="24"/>
    </w:rPr>
  </w:style>
  <w:style w:type="character" w:styleId="ListLabel12">
    <w:name w:val="ListLabel 12"/>
    <w:qFormat/>
    <w:rPr>
      <w:rFonts w:ascii="Times New Roman" w:hAnsi="Times New Roman" w:cs="Times New Roman"/>
      <w:b w:val="false"/>
      <w:bCs w:val="false"/>
      <w:i w:val="false"/>
      <w:sz w:val="24"/>
    </w:rPr>
  </w:style>
  <w:style w:type="character" w:styleId="ListLabel13">
    <w:name w:val="ListLabel 13"/>
    <w:qFormat/>
    <w:rPr>
      <w:rFonts w:ascii="Times New Roman" w:hAnsi="Times New Roman" w:cs="Times New Roman"/>
      <w:b w:val="false"/>
      <w:bCs w:val="false"/>
      <w:sz w:val="24"/>
    </w:rPr>
  </w:style>
  <w:style w:type="character" w:styleId="ListLabel14">
    <w:name w:val="ListLabel 14"/>
    <w:qFormat/>
    <w:rPr>
      <w:rFonts w:cs="Times New Roman"/>
    </w:rPr>
  </w:style>
  <w:style w:type="character" w:styleId="ListLabel15">
    <w:name w:val="ListLabel 15"/>
    <w:qFormat/>
    <w:rPr>
      <w:rFonts w:cs="Times New Roman"/>
    </w:rPr>
  </w:style>
  <w:style w:type="character" w:styleId="ListLabel16">
    <w:name w:val="ListLabel 16"/>
    <w:qFormat/>
    <w:rPr>
      <w:rFonts w:cs="Times New Roman"/>
    </w:rPr>
  </w:style>
  <w:style w:type="character" w:styleId="ListLabel17">
    <w:name w:val="ListLabel 17"/>
    <w:qFormat/>
    <w:rPr>
      <w:rFonts w:cs="Times New Roman"/>
    </w:rPr>
  </w:style>
  <w:style w:type="character" w:styleId="ListLabel18">
    <w:name w:val="ListLabel 18"/>
    <w:qFormat/>
    <w:rPr>
      <w:rFonts w:cs="Times New Roman"/>
    </w:rPr>
  </w:style>
  <w:style w:type="character" w:styleId="ListLabel19">
    <w:name w:val="ListLabel 19"/>
    <w:qFormat/>
    <w:rPr>
      <w:rFonts w:cs="Times New Roman"/>
      <w:b w:val="false"/>
    </w:rPr>
  </w:style>
  <w:style w:type="character" w:styleId="ListLabel20">
    <w:name w:val="ListLabel 20"/>
    <w:qFormat/>
    <w:rPr>
      <w:rFonts w:cs="Times New Roman"/>
    </w:rPr>
  </w:style>
  <w:style w:type="character" w:styleId="ListLabel21">
    <w:name w:val="ListLabel 21"/>
    <w:qFormat/>
    <w:rPr>
      <w:rFonts w:cs="Times New Roman"/>
    </w:rPr>
  </w:style>
  <w:style w:type="character" w:styleId="ListLabel22">
    <w:name w:val="ListLabel 22"/>
    <w:qFormat/>
    <w:rPr>
      <w:rFonts w:ascii="Times New Roman" w:hAnsi="Times New Roman" w:cs="Times New Roman"/>
      <w:b w:val="false"/>
      <w:bCs w:val="false"/>
      <w:sz w:val="24"/>
    </w:rPr>
  </w:style>
  <w:style w:type="character" w:styleId="ListLabel23">
    <w:name w:val="ListLabel 23"/>
    <w:qFormat/>
    <w:rPr>
      <w:b w:val="false"/>
    </w:rPr>
  </w:style>
  <w:style w:type="character" w:styleId="ListLabel24">
    <w:name w:val="ListLabel 24"/>
    <w:qFormat/>
    <w:rPr>
      <w:rFonts w:ascii="Times New Roman" w:hAnsi="Times New Roman"/>
      <w:b/>
      <w:sz w:val="24"/>
    </w:rPr>
  </w:style>
  <w:style w:type="character" w:styleId="ListLabel25">
    <w:name w:val="ListLabel 25"/>
    <w:qFormat/>
    <w:rPr>
      <w:b w:val="false"/>
    </w:rPr>
  </w:style>
  <w:style w:type="character" w:styleId="ListLabel26">
    <w:name w:val="ListLabel 26"/>
    <w:qFormat/>
    <w:rPr>
      <w:rFonts w:cs="Times New Roman"/>
      <w:b w:val="false"/>
    </w:rPr>
  </w:style>
  <w:style w:type="character" w:styleId="ListLabel27">
    <w:name w:val="ListLabel 27"/>
    <w:qFormat/>
    <w:rPr>
      <w:rFonts w:ascii="Times New Roman" w:hAnsi="Times New Roman" w:eastAsia="Times New Roman" w:cs="Times New Roman"/>
      <w:b w:val="false"/>
      <w:bCs w:val="false"/>
      <w:sz w:val="24"/>
    </w:rPr>
  </w:style>
  <w:style w:type="character" w:styleId="ListLabel28">
    <w:name w:val="ListLabel 28"/>
    <w:qFormat/>
    <w:rPr>
      <w:color w:val="auto"/>
    </w:rPr>
  </w:style>
  <w:style w:type="character" w:styleId="ListLabel29">
    <w:name w:val="ListLabel 29"/>
    <w:qFormat/>
    <w:rPr>
      <w:rFonts w:cs="Times New Roman"/>
      <w:b/>
      <w:i w:val="false"/>
    </w:rPr>
  </w:style>
  <w:style w:type="character" w:styleId="ListLabel30">
    <w:name w:val="ListLabel 30"/>
    <w:qFormat/>
    <w:rPr>
      <w:rFonts w:cs="Times New Roman"/>
      <w:b w:val="false"/>
      <w:i w:val="false"/>
      <w:sz w:val="22"/>
      <w:szCs w:val="22"/>
    </w:rPr>
  </w:style>
  <w:style w:type="character" w:styleId="ListLabel31">
    <w:name w:val="ListLabel 31"/>
    <w:qFormat/>
    <w:rPr>
      <w:rFonts w:cs="Times New Roman"/>
      <w:b w:val="false"/>
      <w:i w:val="false"/>
    </w:rPr>
  </w:style>
  <w:style w:type="character" w:styleId="ListLabel32">
    <w:name w:val="ListLabel 32"/>
    <w:qFormat/>
    <w:rPr>
      <w:rFonts w:cs="Times New Roman"/>
    </w:rPr>
  </w:style>
  <w:style w:type="character" w:styleId="ListLabel33">
    <w:name w:val="ListLabel 33"/>
    <w:qFormat/>
    <w:rPr>
      <w:rFonts w:cs="Times New Roman"/>
    </w:rPr>
  </w:style>
  <w:style w:type="character" w:styleId="ListLabel34">
    <w:name w:val="ListLabel 34"/>
    <w:qFormat/>
    <w:rPr>
      <w:rFonts w:cs="Times New Roman"/>
    </w:rPr>
  </w:style>
  <w:style w:type="character" w:styleId="ListLabel35">
    <w:name w:val="ListLabel 35"/>
    <w:qFormat/>
    <w:rPr>
      <w:rFonts w:cs="Times New Roman"/>
    </w:rPr>
  </w:style>
  <w:style w:type="character" w:styleId="ListLabel36">
    <w:name w:val="ListLabel 36"/>
    <w:qFormat/>
    <w:rPr>
      <w:rFonts w:cs="Times New Roman"/>
    </w:rPr>
  </w:style>
  <w:style w:type="character" w:styleId="ListLabel37">
    <w:name w:val="ListLabel 37"/>
    <w:qFormat/>
    <w:rPr>
      <w:rFonts w:cs="Times New Roman"/>
    </w:rPr>
  </w:style>
  <w:style w:type="character" w:styleId="ListLabel38">
    <w:name w:val="ListLabel 38"/>
    <w:qFormat/>
    <w:rPr>
      <w:rFonts w:ascii="Times New Roman" w:hAnsi="Times New Roman" w:eastAsia="Times New Roman" w:cs="Times New Roman"/>
      <w:b w:val="false"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39">
    <w:name w:val="ListLabel 39"/>
    <w:qFormat/>
    <w:rPr>
      <w:rFonts w:cs="Times New Roman"/>
    </w:rPr>
  </w:style>
  <w:style w:type="character" w:styleId="ListLabel40">
    <w:name w:val="ListLabel 40"/>
    <w:qFormat/>
    <w:rPr>
      <w:rFonts w:cs="Times New Roman"/>
    </w:rPr>
  </w:style>
  <w:style w:type="character" w:styleId="ListLabel41">
    <w:name w:val="ListLabel 41"/>
    <w:qFormat/>
    <w:rPr>
      <w:rFonts w:cs="Times New Roman"/>
    </w:rPr>
  </w:style>
  <w:style w:type="character" w:styleId="ListLabel42">
    <w:name w:val="ListLabel 42"/>
    <w:qFormat/>
    <w:rPr>
      <w:rFonts w:cs="Times New Roman"/>
    </w:rPr>
  </w:style>
  <w:style w:type="character" w:styleId="ListLabel43">
    <w:name w:val="ListLabel 43"/>
    <w:qFormat/>
    <w:rPr>
      <w:rFonts w:cs="Times New Roman"/>
    </w:rPr>
  </w:style>
  <w:style w:type="character" w:styleId="ListLabel44">
    <w:name w:val="ListLabel 44"/>
    <w:qFormat/>
    <w:rPr>
      <w:rFonts w:cs="Times New Roman"/>
      <w:b w:val="false"/>
    </w:rPr>
  </w:style>
  <w:style w:type="character" w:styleId="ListLabel45">
    <w:name w:val="ListLabel 45"/>
    <w:qFormat/>
    <w:rPr>
      <w:rFonts w:cs="Times New Roman"/>
    </w:rPr>
  </w:style>
  <w:style w:type="character" w:styleId="ListLabel46">
    <w:name w:val="ListLabel 46"/>
    <w:qFormat/>
    <w:rPr>
      <w:rFonts w:cs="Times New Roman"/>
    </w:rPr>
  </w:style>
  <w:style w:type="character" w:styleId="ListLabel47">
    <w:name w:val="ListLabel 47"/>
    <w:qFormat/>
    <w:rPr>
      <w:rFonts w:cs="Times New Roman"/>
    </w:rPr>
  </w:style>
  <w:style w:type="character" w:styleId="ListLabel48">
    <w:name w:val="ListLabel 48"/>
    <w:qFormat/>
    <w:rPr>
      <w:rFonts w:cs="Times New Roman"/>
    </w:rPr>
  </w:style>
  <w:style w:type="character" w:styleId="ListLabel49">
    <w:name w:val="ListLabel 49"/>
    <w:qFormat/>
    <w:rPr>
      <w:rFonts w:cs="Times New Roman"/>
    </w:rPr>
  </w:style>
  <w:style w:type="character" w:styleId="ListLabel50">
    <w:name w:val="ListLabel 50"/>
    <w:qFormat/>
    <w:rPr>
      <w:rFonts w:cs="Times New Roman"/>
    </w:rPr>
  </w:style>
  <w:style w:type="character" w:styleId="ListLabel51">
    <w:name w:val="ListLabel 51"/>
    <w:qFormat/>
    <w:rPr>
      <w:rFonts w:cs="Times New Roman"/>
    </w:rPr>
  </w:style>
  <w:style w:type="character" w:styleId="ListLabel52">
    <w:name w:val="ListLabel 52"/>
    <w:qFormat/>
    <w:rPr>
      <w:rFonts w:cs="Times New Roman"/>
      <w:b w:val="false"/>
    </w:rPr>
  </w:style>
  <w:style w:type="character" w:styleId="ListLabel53">
    <w:name w:val="ListLabel 53"/>
    <w:qFormat/>
    <w:rPr>
      <w:rFonts w:cs="Times New Roman"/>
    </w:rPr>
  </w:style>
  <w:style w:type="character" w:styleId="ListLabel54">
    <w:name w:val="ListLabel 54"/>
    <w:qFormat/>
    <w:rPr>
      <w:rFonts w:cs="Times New Roman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 w:val="false"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56">
    <w:name w:val="ListLabel 56"/>
    <w:qFormat/>
    <w:rPr>
      <w:rFonts w:ascii="Times New Roman" w:hAnsi="Times New Roman" w:eastAsia="Times New Roman" w:cs="Times New Roman"/>
      <w:b w:val="false"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57">
    <w:name w:val="ListLabel 57"/>
    <w:qFormat/>
    <w:rPr>
      <w:rFonts w:ascii="Times New Roman" w:hAnsi="Times New Roman"/>
      <w:b w:val="false"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ListLabel58">
    <w:name w:val="ListLabel 58"/>
    <w:qFormat/>
    <w:rPr>
      <w:rFonts w:ascii="Times New Roman" w:hAnsi="Times New Roman"/>
      <w:b w:val="false"/>
      <w:bCs w:val="false"/>
      <w:i w:val="false"/>
      <w:strike w:val="false"/>
      <w:dstrike w:val="false"/>
      <w:color w:val="000000"/>
      <w:position w:val="0"/>
      <w:sz w:val="24"/>
      <w:sz w:val="24"/>
      <w:szCs w:val="20"/>
      <w:u w:val="none" w:color="000000"/>
      <w:vertAlign w:val="baseline"/>
    </w:rPr>
  </w:style>
  <w:style w:type="character" w:styleId="Znakinumeracji">
    <w:name w:val="Znaki numeracji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Stopka">
    <w:name w:val="Footer"/>
    <w:basedOn w:val="Normal"/>
    <w:link w:val="StopkaZnak"/>
    <w:rsid w:val="00c60bb0"/>
    <w:pPr>
      <w:tabs>
        <w:tab w:val="clear" w:pos="708"/>
        <w:tab w:val="center" w:pos="4536" w:leader="none"/>
        <w:tab w:val="right" w:pos="9072" w:leader="none"/>
      </w:tabs>
      <w:overflowPunct w:val="true"/>
      <w:spacing w:lineRule="auto" w:line="240" w:before="0" w:after="0"/>
      <w:textAlignment w:val="baseline"/>
    </w:pPr>
    <w:rPr>
      <w:rFonts w:ascii="Times New Roman" w:hAnsi="Times New Roman" w:eastAsia="Times New Roman" w:cs="Times New Roman"/>
      <w:sz w:val="24"/>
      <w:szCs w:val="20"/>
      <w:lang w:eastAsia="pl-PL"/>
    </w:rPr>
  </w:style>
  <w:style w:type="paragraph" w:styleId="ListParagraph">
    <w:name w:val="List Paragraph"/>
    <w:basedOn w:val="Normal"/>
    <w:uiPriority w:val="34"/>
    <w:qFormat/>
    <w:rsid w:val="007c62d4"/>
    <w:pPr>
      <w:spacing w:before="0" w:after="160"/>
      <w:ind w:left="720" w:hanging="0"/>
      <w:contextualSpacing/>
    </w:pPr>
    <w:rPr/>
  </w:style>
  <w:style w:type="paragraph" w:styleId="Zawartoramki">
    <w:name w:val="Zawartość ramki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Application>LibreOffice/6.1.3.2$Windows_x86 LibreOffice_project/86daf60bf00efa86ad547e59e09d6bb77c699acb</Application>
  <Pages>6</Pages>
  <Words>2027</Words>
  <Characters>13108</Characters>
  <CharactersWithSpaces>15213</CharactersWithSpaces>
  <Paragraphs>100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2021-07-29T11:59:00Z</dcterms:created>
  <dc:creator>Siwiec&amp;Pokluda Adwokaci, Radcowie Prawni Sp.p.</dc:creator>
  <dc:description/>
  <dc:language>pl-PL</dc:language>
  <cp:lastModifiedBy/>
  <dcterms:modified xsi:type="dcterms:W3CDTF">2021-07-30T08:26:26Z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