
<file path=[Content_Types].xml><?xml version="1.0" encoding="utf-8"?>
<Types xmlns="http://schemas.openxmlformats.org/package/2006/content-types">
  <Override PartName="/_rels/.rels" ContentType="application/vnd.openxmlformats-package.relationships+xml"/>
  <Override PartName="/word/document.xml" ContentType="application/vnd.openxmlformats-officedocument.wordprocessingml.document.main+xml"/>
  <Override PartName="/word/footer2.xml" ContentType="application/vnd.openxmlformats-officedocument.wordprocessingml.footer+xml"/>
  <Override PartName="/word/header2.xml" ContentType="application/vnd.openxmlformats-officedocument.wordprocessingml.header+xml"/>
  <Override PartName="/word/media/image11.jpeg" ContentType="image/jpeg"/>
  <Override PartName="/word/media/image4.jpeg" ContentType="image/jpeg"/>
  <Override PartName="/word/media/image1.jpeg" ContentType="image/jpeg"/>
  <Override PartName="/word/media/image8.jpeg" ContentType="image/jpeg"/>
  <Override PartName="/word/media/image12.jpeg" ContentType="image/jpeg"/>
  <Override PartName="/word/media/image5.jpeg" ContentType="image/jpeg"/>
  <Override PartName="/word/media/image3.png" ContentType="image/png"/>
  <Override PartName="/word/media/image9.jpeg" ContentType="image/jpeg"/>
  <Override PartName="/word/media/image13.jpeg" ContentType="image/jpeg"/>
  <Override PartName="/word/media/image6.jpeg" ContentType="image/jpeg"/>
  <Override PartName="/word/media/image10.jpeg" ContentType="image/jpeg"/>
  <Override PartName="/word/media/image14.jpeg" ContentType="image/jpeg"/>
  <Override PartName="/word/media/image7.jpeg" ContentType="image/jpeg"/>
  <Override PartName="/word/_rels/header2.xml.rels" ContentType="application/vnd.openxmlformats-package.relationships+xml"/>
  <Override PartName="/word/_rels/header1.xml.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tyles.xml" ContentType="application/vnd.openxmlformats-officedocument.wordprocessingml.styles+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w:body>
    <w:p>
      <w:pPr>
        <w:pStyle w:val="style0"/>
        <w:spacing w:after="0" w:before="0" w:line="300" w:lineRule="auto"/>
        <w:ind w:hanging="10" w:left="300" w:right="51"/>
        <w:contextualSpacing/>
        <w:jc w:val="right"/>
      </w:pPr>
      <w:r>
        <w:rPr>
          <w:sz w:val="24"/>
          <w:szCs w:val="24"/>
        </w:rPr>
        <w:t xml:space="preserve">Miechów, dnia </w:t>
      </w:r>
      <w:r>
        <w:rPr>
          <w:sz w:val="24"/>
          <w:szCs w:val="24"/>
        </w:rPr>
        <w:t>30</w:t>
      </w:r>
      <w:r>
        <w:rPr>
          <w:sz w:val="24"/>
          <w:szCs w:val="24"/>
        </w:rPr>
        <w:t>.01.2019 r.</w:t>
      </w:r>
    </w:p>
    <w:p>
      <w:pPr>
        <w:pStyle w:val="style0"/>
        <w:spacing w:after="0" w:before="0" w:line="300" w:lineRule="auto"/>
        <w:ind w:hanging="5" w:left="5" w:right="51"/>
        <w:contextualSpacing/>
      </w:pPr>
      <w:r>
        <w:rPr>
          <w:sz w:val="24"/>
          <w:szCs w:val="24"/>
        </w:rPr>
        <w:t>Powiat Miechowski</w:t>
      </w:r>
    </w:p>
    <w:p>
      <w:pPr>
        <w:pStyle w:val="style0"/>
        <w:spacing w:after="0" w:before="0" w:line="300" w:lineRule="auto"/>
        <w:ind w:hanging="5" w:left="5" w:right="51"/>
        <w:contextualSpacing/>
      </w:pPr>
      <w:r>
        <w:rPr>
          <w:sz w:val="24"/>
          <w:szCs w:val="24"/>
        </w:rPr>
        <w:t>Dom Pomocy Społecznej w Miechowie</w:t>
      </w:r>
    </w:p>
    <w:p>
      <w:pPr>
        <w:pStyle w:val="style0"/>
        <w:spacing w:after="0" w:before="0" w:line="300" w:lineRule="auto"/>
        <w:ind w:hanging="5" w:left="5" w:right="51"/>
        <w:contextualSpacing/>
      </w:pPr>
      <w:r>
        <w:rPr>
          <w:sz w:val="24"/>
          <w:szCs w:val="24"/>
        </w:rPr>
        <w:t>ul. Warszawska 49a, 32-200 Miechów</w:t>
      </w:r>
    </w:p>
    <w:p>
      <w:pPr>
        <w:pStyle w:val="style0"/>
        <w:spacing w:after="0" w:before="0" w:line="300" w:lineRule="auto"/>
        <w:ind w:hanging="5" w:left="5" w:right="51"/>
        <w:contextualSpacing/>
      </w:pPr>
      <w:r>
        <w:rPr>
          <w:sz w:val="24"/>
          <w:szCs w:val="24"/>
          <w:lang w:val="en-US"/>
        </w:rPr>
        <w:t>tel. (41) 383-14-90</w:t>
      </w:r>
    </w:p>
    <w:p>
      <w:pPr>
        <w:pStyle w:val="style0"/>
        <w:spacing w:after="0" w:before="0" w:line="300" w:lineRule="auto"/>
        <w:ind w:hanging="5" w:left="5" w:right="51"/>
        <w:contextualSpacing/>
      </w:pPr>
      <w:r>
        <w:rPr>
          <w:sz w:val="24"/>
          <w:szCs w:val="24"/>
          <w:lang w:val="en-US"/>
        </w:rPr>
        <w:t>fax: (41) 383-14-90</w:t>
      </w:r>
    </w:p>
    <w:p>
      <w:pPr>
        <w:pStyle w:val="style0"/>
        <w:spacing w:after="0" w:before="0" w:line="300" w:lineRule="auto"/>
        <w:ind w:hanging="5" w:left="5" w:right="51"/>
        <w:contextualSpacing/>
      </w:pPr>
      <w:r>
        <w:rPr>
          <w:sz w:val="24"/>
          <w:szCs w:val="24"/>
          <w:lang w:val="en-US"/>
        </w:rPr>
        <w:t xml:space="preserve">mail: </w:t>
      </w:r>
      <w:hyperlink r:id="rId2">
        <w:r>
          <w:rPr>
            <w:rStyle w:val="style19"/>
            <w:rStyle w:val="style19"/>
            <w:sz w:val="24"/>
            <w:szCs w:val="24"/>
            <w:lang w:val="en-US"/>
          </w:rPr>
          <w:t>dps.miechow@interia.pl</w:t>
        </w:r>
      </w:hyperlink>
    </w:p>
    <w:p>
      <w:pPr>
        <w:pStyle w:val="style0"/>
        <w:spacing w:after="0" w:before="0" w:line="300" w:lineRule="auto"/>
        <w:ind w:hanging="5" w:left="5" w:right="51"/>
        <w:contextualSpacing/>
      </w:pPr>
      <w:r>
        <w:rPr/>
      </w:r>
    </w:p>
    <w:p>
      <w:pPr>
        <w:pStyle w:val="style0"/>
        <w:spacing w:after="0" w:before="0" w:line="300" w:lineRule="auto"/>
        <w:ind w:hanging="5" w:left="5" w:right="51"/>
        <w:contextualSpacing/>
      </w:pPr>
      <w:r>
        <w:rPr/>
      </w:r>
    </w:p>
    <w:p>
      <w:pPr>
        <w:pStyle w:val="style0"/>
        <w:spacing w:after="0" w:before="0" w:line="300" w:lineRule="auto"/>
        <w:ind w:hanging="10" w:left="300" w:right="51"/>
        <w:contextualSpacing/>
        <w:jc w:val="center"/>
      </w:pPr>
      <w:r>
        <w:rPr/>
      </w:r>
    </w:p>
    <w:p>
      <w:pPr>
        <w:pStyle w:val="style0"/>
        <w:spacing w:after="0" w:before="0" w:line="300" w:lineRule="auto"/>
        <w:ind w:hanging="10" w:left="300" w:right="51"/>
        <w:contextualSpacing/>
        <w:jc w:val="center"/>
      </w:pPr>
      <w:r>
        <w:rPr>
          <w:sz w:val="24"/>
          <w:szCs w:val="24"/>
        </w:rPr>
        <w:t>ZAPYTANIE OFERTOWE</w:t>
      </w:r>
    </w:p>
    <w:p>
      <w:pPr>
        <w:pStyle w:val="style2"/>
        <w:numPr>
          <w:ilvl w:val="1"/>
          <w:numId w:val="2"/>
        </w:numPr>
        <w:spacing w:after="0" w:before="240" w:line="300" w:lineRule="auto"/>
        <w:ind w:hanging="5" w:left="234" w:right="0"/>
        <w:contextualSpacing/>
      </w:pPr>
      <w:r>
        <w:rPr>
          <w:sz w:val="24"/>
          <w:szCs w:val="24"/>
        </w:rPr>
        <w:t>NA NADZÓR INWESTORSKI</w:t>
      </w:r>
    </w:p>
    <w:p>
      <w:pPr>
        <w:pStyle w:val="style0"/>
      </w:pPr>
      <w:r>
        <w:rPr/>
      </w:r>
    </w:p>
    <w:p>
      <w:pPr>
        <w:pStyle w:val="style0"/>
        <w:spacing w:after="0" w:before="0" w:line="300" w:lineRule="auto"/>
        <w:ind w:hanging="0" w:left="0" w:right="26"/>
        <w:contextualSpacing/>
      </w:pPr>
      <w:r>
        <w:rPr>
          <w:sz w:val="24"/>
          <w:szCs w:val="24"/>
        </w:rPr>
        <w:t>Zamawiający Powiat Miechowski Dom Pomocy Społecznej w Miechowie  zaprasza do złożenia oferty na pełnienie w zakresie określonym przepisami ustawy z dnia 7 lipca 1994r. - Prawo budowlane, nadzoru inwestorskiego nad realizacją zadania, inwestycyjnego pt</w:t>
      </w:r>
      <w:bookmarkStart w:id="0" w:name="_Hlk532233851"/>
      <w:r>
        <w:rPr>
          <w:sz w:val="24"/>
          <w:szCs w:val="24"/>
        </w:rPr>
        <w:t>.  „Rozbudowa budynku Domu Pomocy Społecznej w Miechowie i stworzenie "Strefy Aktywizacji                     i Rehabilitacji dla Mężczyzn Niepełnosprawnych Intelektualnie".</w:t>
      </w:r>
    </w:p>
    <w:p>
      <w:pPr>
        <w:pStyle w:val="style0"/>
        <w:spacing w:after="0" w:before="0" w:line="300" w:lineRule="auto"/>
        <w:ind w:hanging="5" w:left="5" w:right="26"/>
        <w:contextualSpacing/>
      </w:pPr>
      <w:bookmarkEnd w:id="0"/>
      <w:r>
        <w:rPr/>
      </w:r>
    </w:p>
    <w:p>
      <w:pPr>
        <w:pStyle w:val="style0"/>
        <w:spacing w:after="0" w:before="0" w:line="300" w:lineRule="auto"/>
        <w:ind w:hanging="0" w:left="0" w:right="0"/>
        <w:contextualSpacing/>
      </w:pPr>
      <w:r>
        <w:rPr>
          <w:sz w:val="24"/>
          <w:szCs w:val="24"/>
        </w:rPr>
        <w:t xml:space="preserve">I. </w:t>
        <w:tab/>
        <w:t>Tryb udzielenia zamówienia.</w:t>
      </w:r>
    </w:p>
    <w:p>
      <w:pPr>
        <w:pStyle w:val="style0"/>
        <w:spacing w:after="0" w:before="0" w:line="300" w:lineRule="auto"/>
        <w:ind w:hanging="5" w:left="5" w:right="26"/>
        <w:contextualSpacing/>
      </w:pPr>
      <w:r>
        <w:rPr>
          <w:sz w:val="24"/>
          <w:szCs w:val="24"/>
        </w:rPr>
        <w:t>1. W związku z art.4 ust. 8 ustawy z dnia 29.01.2004r. Prawo zamówień publicznych (Dz. U      z 2017 poz. 1579) niniejszej ustawy nie stosuje się do zamówień, których wartość nie przekracza wyrażonych w złotych równowartości kwoty 30 000 euro.</w:t>
      </w:r>
    </w:p>
    <w:p>
      <w:pPr>
        <w:pStyle w:val="style0"/>
        <w:spacing w:after="0" w:before="0" w:line="300" w:lineRule="auto"/>
        <w:ind w:hanging="5" w:left="5" w:right="26"/>
        <w:contextualSpacing/>
      </w:pPr>
      <w:r>
        <w:rPr>
          <w:sz w:val="24"/>
          <w:szCs w:val="24"/>
        </w:rPr>
        <w:t>2. Miejsce publikacji Zapytania ofertowego: strona internetowa Zamawiającego: www</w:t>
      </w:r>
      <w:r>
        <w:rPr>
          <w:sz w:val="24"/>
          <w:szCs w:val="24"/>
          <w:u w:val="single"/>
        </w:rPr>
        <w:t>.dps.miechow.net</w:t>
      </w:r>
    </w:p>
    <w:p>
      <w:pPr>
        <w:pStyle w:val="style0"/>
        <w:spacing w:after="0" w:before="0" w:line="300" w:lineRule="auto"/>
        <w:ind w:hanging="5" w:left="5" w:right="26"/>
        <w:contextualSpacing/>
      </w:pPr>
      <w:r>
        <w:rPr>
          <w:sz w:val="24"/>
          <w:szCs w:val="24"/>
        </w:rPr>
        <w:t>3. Zamówienie realizowane jest w ramach Regionalnego Programu Operacyjnego Województwa Małopolskiego na lata 2014 – 2020 w ramach Osi Priorytetowej11. Rewitalizacja przestrzeni regionalnej, Działanie 11.1 Rewitalizacja miast, Poddziałanie 11.1.2. Rewitalizacja miast średnich i małych.</w:t>
      </w:r>
    </w:p>
    <w:p>
      <w:pPr>
        <w:pStyle w:val="style0"/>
        <w:spacing w:after="0" w:before="0" w:line="300" w:lineRule="auto"/>
        <w:ind w:hanging="5" w:left="5" w:right="26"/>
        <w:contextualSpacing/>
      </w:pPr>
      <w:r>
        <w:rPr/>
      </w:r>
    </w:p>
    <w:p>
      <w:pPr>
        <w:pStyle w:val="style34"/>
        <w:numPr>
          <w:ilvl w:val="0"/>
          <w:numId w:val="3"/>
        </w:numPr>
        <w:spacing w:after="0" w:before="0" w:line="300" w:lineRule="auto"/>
        <w:contextualSpacing/>
      </w:pPr>
      <w:r>
        <w:rPr>
          <w:sz w:val="24"/>
          <w:szCs w:val="24"/>
        </w:rPr>
        <w:t>Opis przedmiotu zamówienia.</w:t>
      </w:r>
    </w:p>
    <w:p>
      <w:pPr>
        <w:pStyle w:val="style0"/>
        <w:spacing w:after="0" w:before="0" w:line="300" w:lineRule="auto"/>
        <w:ind w:hanging="0" w:left="5" w:right="0"/>
        <w:contextualSpacing w:val="false"/>
      </w:pPr>
      <w:r>
        <w:rPr>
          <w:sz w:val="24"/>
          <w:szCs w:val="24"/>
        </w:rPr>
        <w:t>1. Rodzaj zamówienia: usługi</w:t>
      </w:r>
    </w:p>
    <w:p>
      <w:pPr>
        <w:pStyle w:val="style0"/>
        <w:spacing w:after="0" w:before="0" w:line="300" w:lineRule="auto"/>
        <w:ind w:hanging="0" w:left="5" w:right="0"/>
        <w:contextualSpacing w:val="false"/>
      </w:pPr>
      <w:r>
        <w:rPr>
          <w:sz w:val="24"/>
          <w:szCs w:val="24"/>
        </w:rPr>
        <w:t>Kody CPV</w:t>
      </w:r>
    </w:p>
    <w:p>
      <w:pPr>
        <w:pStyle w:val="style0"/>
        <w:spacing w:after="0" w:before="0" w:line="300" w:lineRule="auto"/>
        <w:ind w:hanging="0" w:left="5" w:right="0"/>
        <w:contextualSpacing w:val="false"/>
      </w:pPr>
      <w:r>
        <w:rPr>
          <w:sz w:val="24"/>
          <w:szCs w:val="24"/>
        </w:rPr>
        <w:t>71247000-1 Nadzór nad robotami budowlanymi</w:t>
      </w:r>
    </w:p>
    <w:p>
      <w:pPr>
        <w:pStyle w:val="style0"/>
        <w:spacing w:after="0" w:before="0" w:line="300" w:lineRule="auto"/>
        <w:ind w:hanging="0" w:left="5" w:right="0"/>
        <w:contextualSpacing w:val="false"/>
      </w:pPr>
      <w:r>
        <w:rPr>
          <w:sz w:val="24"/>
          <w:szCs w:val="24"/>
        </w:rPr>
        <w:t>71520000-9 Usługi nadzoru inwestorskiego</w:t>
      </w:r>
    </w:p>
    <w:p>
      <w:pPr>
        <w:pStyle w:val="style0"/>
        <w:spacing w:after="0" w:before="0" w:line="300" w:lineRule="auto"/>
        <w:ind w:hanging="0" w:left="5" w:right="0"/>
        <w:contextualSpacing w:val="false"/>
      </w:pPr>
      <w:r>
        <w:rPr>
          <w:sz w:val="24"/>
          <w:szCs w:val="24"/>
        </w:rPr>
        <w:t>71630000-3 Usługi kontroli i nadzoru technicznego</w:t>
      </w:r>
    </w:p>
    <w:p>
      <w:pPr>
        <w:sectPr>
          <w:headerReference r:id="rId5" w:type="first"/>
          <w:footerReference r:id="rId6" w:type="first"/>
          <w:type w:val="nextPage"/>
          <w:pgSz w:h="16838" w:w="11906"/>
          <w:pgMar w:bottom="723" w:footer="666" w:gutter="0" w:header="1454" w:left="1248" w:right="1339" w:top="2013"/>
          <w:pgNumType w:fmt="decimal"/>
          <w:formProt w:val="false"/>
          <w:titlePg/>
          <w:textDirection w:val="lrTb"/>
          <w:docGrid w:charSpace="0" w:linePitch="240" w:type="default"/>
        </w:sectPr>
        <w:pStyle w:val="style0"/>
        <w:spacing w:after="160" w:before="0" w:line="252" w:lineRule="auto"/>
        <w:ind w:hanging="0" w:left="0" w:right="0"/>
        <w:contextualSpacing w:val="false"/>
        <w:jc w:val="left"/>
      </w:pPr>
      <w:r>
        <w:rPr>
          <w:sz w:val="24"/>
          <w:szCs w:val="24"/>
        </w:rPr>
        <w:t xml:space="preserve">2. Przedmiotem zamówienia jest: pełnienie funkcji inspektora nadzoru Inwestorskiego </w:t>
      </w:r>
      <w:r>
        <w:rPr/>
        <w:drawing>
          <wp:inline distB="0" distL="0" distR="0" distT="0">
            <wp:extent cx="14605" cy="14605"/>
            <wp:effectExtent b="0" l="0" r="0" t="0"/>
            <wp:docPr descr="" id="0"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descr="" id="0" name="Picture"/>
                    <pic:cNvPicPr>
                      <a:picLocks noChangeArrowheads="1" noChangeAspect="1"/>
                    </pic:cNvPicPr>
                  </pic:nvPicPr>
                  <pic:blipFill>
                    <a:blip r:embed="rId3"/>
                    <a:srcRect/>
                    <a:stretch>
                      <a:fillRect/>
                    </a:stretch>
                  </pic:blipFill>
                  <pic:spPr bwMode="auto">
                    <a:xfrm>
                      <a:off x="0" y="0"/>
                      <a:ext cx="14605" cy="14605"/>
                    </a:xfrm>
                    <a:prstGeom prst="rect">
                      <a:avLst/>
                    </a:prstGeom>
                    <a:noFill/>
                    <a:ln w="9525">
                      <a:noFill/>
                      <a:miter lim="800000"/>
                      <a:headEnd/>
                      <a:tailEnd/>
                    </a:ln>
                  </pic:spPr>
                </pic:pic>
              </a:graphicData>
            </a:graphic>
          </wp:inline>
        </w:drawing>
      </w:r>
      <w:r>
        <w:rPr>
          <w:sz w:val="24"/>
          <w:szCs w:val="24"/>
        </w:rPr>
        <w:t xml:space="preserve">zwanego dalej Inspektorem w specjalności konstrukcyjno -budowlanej bez ograniczeń, instalacyjnej        w zakresie sieci, instalacji </w:t>
      </w:r>
      <w:r>
        <w:rPr/>
        <w:drawing>
          <wp:inline distB="0" distL="0" distR="0" distT="0">
            <wp:extent cx="14605" cy="45085"/>
            <wp:effectExtent b="0" l="0" r="0" t="0"/>
            <wp:docPr descr="" id="1"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descr="" id="1" name="Picture"/>
                    <pic:cNvPicPr>
                      <a:picLocks noChangeArrowheads="1" noChangeAspect="1"/>
                    </pic:cNvPicPr>
                  </pic:nvPicPr>
                  <pic:blipFill>
                    <a:blip r:embed="rId4"/>
                    <a:srcRect/>
                    <a:stretch>
                      <a:fillRect/>
                    </a:stretch>
                  </pic:blipFill>
                  <pic:spPr bwMode="auto">
                    <a:xfrm>
                      <a:off x="0" y="0"/>
                      <a:ext cx="14605" cy="45085"/>
                    </a:xfrm>
                    <a:prstGeom prst="rect">
                      <a:avLst/>
                    </a:prstGeom>
                    <a:noFill/>
                    <a:ln w="9525">
                      <a:noFill/>
                      <a:miter lim="800000"/>
                      <a:headEnd/>
                      <a:tailEnd/>
                    </a:ln>
                  </pic:spPr>
                </pic:pic>
              </a:graphicData>
            </a:graphic>
          </wp:inline>
        </w:drawing>
      </w:r>
      <w:r>
        <w:rPr>
          <w:sz w:val="24"/>
          <w:szCs w:val="24"/>
        </w:rPr>
        <w:t xml:space="preserve">i urządzeń elektrycznych i elektroenergetycznych bez ograniczeń,       a także instalacyjnej w zakresie sieci, instalacji i urządzeń cieplnych, wentylacyjnych, gazowych, wodociągowych, kanalizacyjnych bez ograniczeń. </w:t>
      </w:r>
    </w:p>
    <w:p>
      <w:pPr>
        <w:pStyle w:val="style0"/>
        <w:spacing w:after="0" w:before="0" w:line="300" w:lineRule="auto"/>
        <w:ind w:firstLine="5" w:left="0" w:right="26"/>
        <w:contextualSpacing/>
      </w:pPr>
      <w:r>
        <w:rPr>
          <w:sz w:val="24"/>
          <w:szCs w:val="24"/>
        </w:rPr>
        <w:t xml:space="preserve">Szczegółowy zakres robót przedstawiony został na stronie internetowej BIP - </w:t>
      </w:r>
      <w:hyperlink r:id="rId7">
        <w:r>
          <w:rPr>
            <w:rStyle w:val="style19"/>
            <w:rStyle w:val="style19"/>
            <w:sz w:val="24"/>
            <w:szCs w:val="24"/>
          </w:rPr>
          <w:t>https://bip.malopolska.pl</w:t>
        </w:r>
      </w:hyperlink>
      <w:r>
        <w:rPr>
          <w:sz w:val="24"/>
          <w:szCs w:val="24"/>
        </w:rPr>
        <w:t xml:space="preserve"> pod ogłoszeniem o przetargu nieograniczonym na roboty budowlane pn: : „Rozbudowa budynku Domu Pomocy Społecznej w Miechowie i stworzenie „Strefy Aktywizacji i Rehabilitacji dla Mężczyzn niepełnosprawnych intelektualnie”, strona internetowa www.dps.miechow.net.</w:t>
      </w:r>
    </w:p>
    <w:p>
      <w:pPr>
        <w:pStyle w:val="style0"/>
        <w:spacing w:after="0" w:before="0" w:line="300" w:lineRule="auto"/>
        <w:ind w:hanging="5" w:left="5" w:right="10"/>
        <w:contextualSpacing/>
      </w:pPr>
      <w:r>
        <w:rPr>
          <w:sz w:val="24"/>
          <w:szCs w:val="24"/>
        </w:rPr>
        <w:t xml:space="preserve">Uwaga ! </w:t>
      </w:r>
      <w:r>
        <w:rPr>
          <w:sz w:val="24"/>
          <w:szCs w:val="24"/>
          <w:u w:val="single"/>
        </w:rPr>
        <w:t xml:space="preserve">Ilekroć w opisie przedmiotu zamówienia, dokumentacji, specyfikacji, przedmiarze </w:t>
      </w:r>
      <w:r>
        <w:rPr/>
        <w:drawing>
          <wp:inline distB="0" distL="0" distR="0" distT="0">
            <wp:extent cx="14605" cy="14605"/>
            <wp:effectExtent b="0" l="0" r="0" t="0"/>
            <wp:docPr descr="" id="3"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descr="" id="3" name="Picture"/>
                    <pic:cNvPicPr>
                      <a:picLocks noChangeArrowheads="1" noChangeAspect="1"/>
                    </pic:cNvPicPr>
                  </pic:nvPicPr>
                  <pic:blipFill>
                    <a:blip r:embed="rId8"/>
                    <a:srcRect/>
                    <a:stretch>
                      <a:fillRect/>
                    </a:stretch>
                  </pic:blipFill>
                  <pic:spPr bwMode="auto">
                    <a:xfrm>
                      <a:off x="0" y="0"/>
                      <a:ext cx="14605" cy="14605"/>
                    </a:xfrm>
                    <a:prstGeom prst="rect">
                      <a:avLst/>
                    </a:prstGeom>
                    <a:noFill/>
                    <a:ln w="9525">
                      <a:noFill/>
                      <a:miter lim="800000"/>
                      <a:headEnd/>
                      <a:tailEnd/>
                    </a:ln>
                  </pic:spPr>
                </pic:pic>
              </a:graphicData>
            </a:graphic>
          </wp:inline>
        </w:drawing>
      </w:r>
      <w:r>
        <w:rPr>
          <w:sz w:val="24"/>
          <w:szCs w:val="24"/>
          <w:u w:val="single"/>
        </w:rPr>
        <w:t xml:space="preserve">robót lub kosztorysie „ślepym” wskazano markę lub pochodzenie produktu lub urządzenia, należy przyjąć, że za każdą nazwą jest umieszczone słowo „lub równoważne”, </w:t>
      </w:r>
      <w:r>
        <w:rPr>
          <w:sz w:val="24"/>
          <w:szCs w:val="24"/>
        </w:rPr>
        <w:t>tzn. że wbudowane materiały, urządzenia itp. będą posiadały (charakteryzowały się) wszystkimi parametrami nie gorszymi niż opisane w w/w dokumentach.</w:t>
      </w:r>
    </w:p>
    <w:p>
      <w:pPr>
        <w:pStyle w:val="style0"/>
        <w:spacing w:after="0" w:before="0" w:line="300" w:lineRule="auto"/>
        <w:contextualSpacing/>
      </w:pPr>
      <w:r>
        <w:rPr>
          <w:sz w:val="24"/>
          <w:szCs w:val="24"/>
        </w:rPr>
        <w:t>3. Szczegółowy zakres obowiązków Inspektora Nadzoru Inwestorskiego:</w:t>
      </w:r>
    </w:p>
    <w:p>
      <w:pPr>
        <w:pStyle w:val="style0"/>
        <w:spacing w:after="0" w:before="0" w:line="300" w:lineRule="auto"/>
        <w:contextualSpacing/>
      </w:pPr>
      <w:r>
        <w:rPr>
          <w:sz w:val="24"/>
          <w:szCs w:val="24"/>
        </w:rPr>
        <w:t>•</w:t>
      </w:r>
      <w:r>
        <w:rPr>
          <w:sz w:val="24"/>
          <w:szCs w:val="24"/>
        </w:rPr>
        <w:tab/>
        <w:t>przekazanie wykonawcy robót protokolarnie terenu budowy,</w:t>
      </w:r>
    </w:p>
    <w:p>
      <w:pPr>
        <w:pStyle w:val="style0"/>
        <w:spacing w:after="0" w:before="0" w:line="300" w:lineRule="auto"/>
        <w:contextualSpacing/>
      </w:pPr>
      <w:r>
        <w:rPr>
          <w:sz w:val="24"/>
          <w:szCs w:val="24"/>
        </w:rPr>
        <w:t>•</w:t>
      </w:r>
      <w:r>
        <w:rPr>
          <w:sz w:val="24"/>
          <w:szCs w:val="24"/>
        </w:rPr>
        <w:tab/>
        <w:t>reprezentowanie Zamawiającego na budowie poprzez sprawowanie kontroli zgodności jej realizacji z projektem i pozwoleniami na budowę, specyfikacją techniczną wykonania i odbioru robót, obowiązującymi normami i przepisami, w tym przepisami techniczno – budowlanymi oraz zasadami wiedzy technicznej oraz umową na roboty budowlane; w tym zakresie Wykonawca ma prawo wydawać wiążące polecenia co do usunięcia nieprawidłowości  lub zagrożeń, wykonania prób  lub badań, także wymagających odkrycia robót lub elementów zakrytych, oraz przedstawienia ekspertyz dotyczących  prowadzonych robót budowlanych, dowodów dopuszczenia do obrotu i stosowania                w budownictwie wyrobów budowlanych oraz urządzeń technicznych;</w:t>
      </w:r>
    </w:p>
    <w:p>
      <w:pPr>
        <w:pStyle w:val="style0"/>
        <w:spacing w:after="0" w:before="0" w:line="300" w:lineRule="auto"/>
        <w:contextualSpacing/>
      </w:pPr>
      <w:r>
        <w:rPr>
          <w:sz w:val="24"/>
          <w:szCs w:val="24"/>
        </w:rPr>
        <w:t>•</w:t>
      </w:r>
      <w:r>
        <w:rPr>
          <w:sz w:val="24"/>
          <w:szCs w:val="24"/>
        </w:rPr>
        <w:tab/>
        <w:t>uczestniczenie we wszystkich czynnościach, do dokonania których zobowiązany jest Zamawiający, a dotyczących prac budowlanych Inwestycji realizowanych przez wykonawcę Inwestycji w okresie obowiązywania umowy, w tym uczestniczenie w naradach technicznych, problemowych i innych organizowanych przez którąkolwiek ze stron procesu inwestycyjnego,</w:t>
      </w:r>
    </w:p>
    <w:p>
      <w:pPr>
        <w:pStyle w:val="style0"/>
        <w:spacing w:after="0" w:before="0" w:line="300" w:lineRule="auto"/>
        <w:contextualSpacing/>
      </w:pPr>
      <w:r>
        <w:rPr>
          <w:sz w:val="24"/>
          <w:szCs w:val="24"/>
        </w:rPr>
        <w:t>•</w:t>
      </w:r>
      <w:r>
        <w:rPr>
          <w:sz w:val="24"/>
          <w:szCs w:val="24"/>
        </w:rPr>
        <w:tab/>
        <w:t>opiniowanie zgody lub sprzeciwu albo zgłaszanie zastrzeżeń do zawarcia przez wykonawcę umowy o roboty budowlane z podwykonawcą, zgodnie z art. 6471 § 1 Kodeksu cywilnego,</w:t>
      </w:r>
    </w:p>
    <w:p>
      <w:pPr>
        <w:pStyle w:val="style0"/>
        <w:spacing w:after="0" w:before="0" w:line="300" w:lineRule="auto"/>
        <w:contextualSpacing/>
      </w:pPr>
      <w:r>
        <w:rPr>
          <w:sz w:val="24"/>
          <w:szCs w:val="24"/>
        </w:rPr>
        <w:t>•</w:t>
      </w:r>
      <w:r>
        <w:rPr>
          <w:sz w:val="24"/>
          <w:szCs w:val="24"/>
        </w:rPr>
        <w:tab/>
        <w:t>kontrola płatności na rzecz podwykonawców zgodnie z postanowieniami umowy na roboty budowlane Inwestycji,</w:t>
      </w:r>
    </w:p>
    <w:p>
      <w:pPr>
        <w:pStyle w:val="style0"/>
        <w:spacing w:after="0" w:before="0" w:line="300" w:lineRule="auto"/>
        <w:contextualSpacing/>
      </w:pPr>
      <w:r>
        <w:rPr>
          <w:sz w:val="24"/>
          <w:szCs w:val="24"/>
        </w:rPr>
        <w:t>•</w:t>
      </w:r>
      <w:r>
        <w:rPr>
          <w:sz w:val="24"/>
          <w:szCs w:val="24"/>
        </w:rPr>
        <w:tab/>
        <w:t>współpraca z Zamawiającym, jednostką projektową i wykonawcą robót budowlanych w zakresie realizowanych robót budowlanych, w tym stałe konsultowanie i fachowe doradztwo na rzecz Zamawiającego celem wspólnego poszukiwania rozwiązań bieżących problemów,</w:t>
      </w:r>
    </w:p>
    <w:p>
      <w:pPr>
        <w:pStyle w:val="style0"/>
        <w:spacing w:after="0" w:before="0" w:line="300" w:lineRule="auto"/>
        <w:contextualSpacing/>
      </w:pPr>
      <w:r>
        <w:rPr>
          <w:sz w:val="24"/>
          <w:szCs w:val="24"/>
        </w:rPr>
        <w:t>•</w:t>
      </w:r>
      <w:r>
        <w:rPr>
          <w:sz w:val="24"/>
          <w:szCs w:val="24"/>
        </w:rPr>
        <w:tab/>
        <w:t>pisemne informowanie Zamawiającego o postępie robót na budowie i ewentualnych trudnościach w ich realizacji – według potrzeb, nie rzadziej jednak niż raz w miesiącu,</w:t>
      </w:r>
    </w:p>
    <w:p>
      <w:pPr>
        <w:pStyle w:val="style0"/>
        <w:spacing w:after="0" w:before="0" w:line="300" w:lineRule="auto"/>
        <w:contextualSpacing/>
      </w:pPr>
      <w:r>
        <w:rPr>
          <w:sz w:val="24"/>
          <w:szCs w:val="24"/>
        </w:rPr>
        <w:t>•</w:t>
      </w:r>
      <w:r>
        <w:rPr>
          <w:sz w:val="24"/>
          <w:szCs w:val="24"/>
        </w:rPr>
        <w:tab/>
        <w:t>weryfikacja dokumentów dostarczonych przez wykonawcę robót budowlanych związanych z odbiorami robót budowlanych (odbiorem robót zanikających i ulegających zakryciu, odbiorem częściowym, odbiorem końcowym, odbiorem po okresie rękojmi oraz gwarancji i odbiorem ostatecznym), w tym m. in. atestów, certyfikatów, świadectw jakości, wyników badań itp., sprawdzania obmiarów wykonanych robót (książki obmiarów)                 i protokołów oraz kontrola materiałów i urządzeń przed ich wbudowaniem,</w:t>
      </w:r>
    </w:p>
    <w:p>
      <w:pPr>
        <w:pStyle w:val="style0"/>
        <w:spacing w:after="0" w:before="0" w:line="300" w:lineRule="auto"/>
        <w:contextualSpacing/>
      </w:pPr>
      <w:r>
        <w:rPr>
          <w:sz w:val="24"/>
          <w:szCs w:val="24"/>
        </w:rPr>
        <w:t>•</w:t>
      </w:r>
      <w:r>
        <w:rPr>
          <w:sz w:val="24"/>
          <w:szCs w:val="24"/>
        </w:rPr>
        <w:tab/>
        <w:t>sprawdzanie pod względem merytorycznym, formalnym i rachunkowym protokołów odbioru w zakresie wykonywanych robót oraz zgodności przedkładanych przez wykonawcę faktur z umową, kontrola jakości i wartości wykonanych robót budowlanych przed odbiorami robót zanikających i ulegających zakryciu, częściowym, końcowym, po okresie rękojmi oraz gwarancji i ostatecznym oraz kontrola prawidłowości wykonania zafakturowanych robót,</w:t>
      </w:r>
    </w:p>
    <w:p>
      <w:pPr>
        <w:pStyle w:val="style0"/>
        <w:spacing w:after="0" w:before="0" w:line="300" w:lineRule="auto"/>
        <w:contextualSpacing/>
      </w:pPr>
      <w:r>
        <w:rPr>
          <w:sz w:val="24"/>
          <w:szCs w:val="24"/>
        </w:rPr>
        <w:t>•</w:t>
      </w:r>
      <w:r>
        <w:rPr>
          <w:sz w:val="24"/>
          <w:szCs w:val="24"/>
        </w:rPr>
        <w:tab/>
        <w:t>sprawdzanie jakości wykonanych robót i wbudowanych wyrobów budowlanych,         a w szczególności zapobieganie zastosowaniu wyrobów budowlanych wadliwych                    i niedopuszczonych do stosowania w budownictwie,</w:t>
      </w:r>
    </w:p>
    <w:p>
      <w:pPr>
        <w:pStyle w:val="style0"/>
        <w:spacing w:after="0" w:before="0" w:line="300" w:lineRule="auto"/>
        <w:contextualSpacing/>
      </w:pPr>
      <w:r>
        <w:rPr>
          <w:sz w:val="24"/>
          <w:szCs w:val="24"/>
        </w:rPr>
        <w:t>•</w:t>
      </w:r>
      <w:r>
        <w:rPr>
          <w:sz w:val="24"/>
          <w:szCs w:val="24"/>
        </w:rPr>
        <w:tab/>
        <w:t>nadzór nad terminowością realizacji robót budowlanych, w szczególności w zakresie dotrzymania terminu ich zakończenia,</w:t>
      </w:r>
    </w:p>
    <w:p>
      <w:pPr>
        <w:pStyle w:val="style0"/>
        <w:spacing w:after="0" w:before="0" w:line="300" w:lineRule="auto"/>
        <w:contextualSpacing/>
      </w:pPr>
      <w:r>
        <w:rPr>
          <w:sz w:val="24"/>
          <w:szCs w:val="24"/>
        </w:rPr>
        <w:t>•</w:t>
      </w:r>
      <w:r>
        <w:rPr>
          <w:sz w:val="24"/>
          <w:szCs w:val="24"/>
        </w:rPr>
        <w:tab/>
        <w:t xml:space="preserve">dokonywanie odbiorów robót budowlanych (odbioru robót zanikających i ulegających zakryciu, odbioru częściowego, odbioru końcowego, odbioru po okresie rękojmi oraz gwarancji i odbioru ostatecznego), zgodnie z obowiązującymi w tym zakresie przepisami prawa, normami budowlanymi oraz specyfikacjami technicznymi wykonania i odbioru robót budowlanych inwestycji oraz udział w przekazaniu obiektu budowlanego do użytkowania, </w:t>
      </w:r>
    </w:p>
    <w:p>
      <w:pPr>
        <w:pStyle w:val="style0"/>
        <w:spacing w:after="0" w:before="0" w:line="300" w:lineRule="auto"/>
        <w:contextualSpacing/>
      </w:pPr>
      <w:r>
        <w:rPr>
          <w:sz w:val="24"/>
          <w:szCs w:val="24"/>
        </w:rPr>
        <w:t>•</w:t>
      </w:r>
      <w:r>
        <w:rPr>
          <w:sz w:val="24"/>
          <w:szCs w:val="24"/>
        </w:rPr>
        <w:tab/>
        <w:t>uczestniczenie w próbach i odbiorach technicznych instalacji i urządzeń technicznych,</w:t>
      </w:r>
    </w:p>
    <w:p>
      <w:pPr>
        <w:pStyle w:val="style0"/>
        <w:spacing w:after="0" w:before="0" w:line="300" w:lineRule="auto"/>
        <w:contextualSpacing/>
      </w:pPr>
      <w:r>
        <w:rPr>
          <w:sz w:val="24"/>
          <w:szCs w:val="24"/>
        </w:rPr>
        <w:t>•</w:t>
      </w:r>
      <w:r>
        <w:rPr>
          <w:sz w:val="24"/>
          <w:szCs w:val="24"/>
        </w:rPr>
        <w:tab/>
        <w:t>dokonywanie odbiorów robót zanikających i ulegających zakryciu – w terminie 3 dni  dni od dnia zgłoszenia przez wykonawcę robót budowlanych wpisem w dzienniku budowy,</w:t>
      </w:r>
    </w:p>
    <w:p>
      <w:pPr>
        <w:pStyle w:val="style0"/>
        <w:spacing w:after="0" w:before="0" w:line="300" w:lineRule="auto"/>
        <w:contextualSpacing/>
      </w:pPr>
      <w:r>
        <w:rPr>
          <w:sz w:val="24"/>
          <w:szCs w:val="24"/>
        </w:rPr>
        <w:t>•</w:t>
      </w:r>
      <w:r>
        <w:rPr>
          <w:sz w:val="24"/>
          <w:szCs w:val="24"/>
        </w:rPr>
        <w:tab/>
        <w:t>potwierdzanie faktycznie wykonanych robót oraz usunięcia wad, a także kontrolowanie rozliczeń budowy,</w:t>
      </w:r>
    </w:p>
    <w:p>
      <w:pPr>
        <w:pStyle w:val="style0"/>
        <w:spacing w:after="0" w:before="0" w:line="300" w:lineRule="auto"/>
        <w:contextualSpacing/>
      </w:pPr>
      <w:r>
        <w:rPr>
          <w:sz w:val="24"/>
          <w:szCs w:val="24"/>
        </w:rPr>
        <w:t>•</w:t>
      </w:r>
      <w:r>
        <w:rPr>
          <w:sz w:val="24"/>
          <w:szCs w:val="24"/>
        </w:rPr>
        <w:tab/>
        <w:t>kontrola zgodności realizacji robót budowlanych z przedłożonym przez wykonawcę    i uzgodnionym przez Zamawiającego harmonogramem robót,</w:t>
      </w:r>
    </w:p>
    <w:p>
      <w:pPr>
        <w:pStyle w:val="style0"/>
        <w:spacing w:after="0" w:before="0" w:line="300" w:lineRule="auto"/>
        <w:contextualSpacing/>
      </w:pPr>
      <w:r>
        <w:rPr>
          <w:sz w:val="24"/>
          <w:szCs w:val="24"/>
        </w:rPr>
        <w:t>•</w:t>
      </w:r>
      <w:r>
        <w:rPr>
          <w:sz w:val="24"/>
          <w:szCs w:val="24"/>
        </w:rPr>
        <w:tab/>
        <w:t>udział w komisji powołanej przez Zamawiającego do określenia ewentualnych robót zamiennych, sprawdzanie pod względem merytorycznym konieczności wykonania robót zamiennych zaproponowanych przez komisję,</w:t>
      </w:r>
    </w:p>
    <w:p>
      <w:pPr>
        <w:pStyle w:val="style0"/>
        <w:spacing w:after="0" w:before="0" w:line="300" w:lineRule="auto"/>
        <w:contextualSpacing/>
      </w:pPr>
      <w:r>
        <w:rPr>
          <w:sz w:val="24"/>
          <w:szCs w:val="24"/>
        </w:rPr>
        <w:t>•</w:t>
      </w:r>
      <w:r>
        <w:rPr>
          <w:sz w:val="24"/>
          <w:szCs w:val="24"/>
        </w:rPr>
        <w:tab/>
        <w:t>uzgadnianie z Zamawiającym i wykonawcą robót budowlanych cen jednostkowych zastosowania zamiennych rozwiązań, materiałów i urządzeń,</w:t>
      </w:r>
    </w:p>
    <w:p>
      <w:pPr>
        <w:pStyle w:val="style0"/>
        <w:spacing w:after="0" w:before="0" w:line="300" w:lineRule="auto"/>
        <w:contextualSpacing/>
      </w:pPr>
      <w:r>
        <w:rPr>
          <w:sz w:val="24"/>
          <w:szCs w:val="24"/>
        </w:rPr>
        <w:t>•</w:t>
      </w:r>
      <w:r>
        <w:rPr>
          <w:sz w:val="24"/>
          <w:szCs w:val="24"/>
        </w:rPr>
        <w:tab/>
        <w:t>kontrola prawidłowości prowadzenia Dziennika Budowy i dokonywanie w nim wpisów stwierdzających wszelkie okoliczności mające znaczenie dla właściwego procesu budowlanego oraz wyceny robót,</w:t>
      </w:r>
    </w:p>
    <w:p>
      <w:pPr>
        <w:pStyle w:val="style0"/>
        <w:spacing w:after="0" w:before="0" w:line="300" w:lineRule="auto"/>
        <w:contextualSpacing/>
      </w:pPr>
      <w:r>
        <w:rPr>
          <w:sz w:val="24"/>
          <w:szCs w:val="24"/>
        </w:rPr>
        <w:t>•</w:t>
      </w:r>
      <w:r>
        <w:rPr>
          <w:sz w:val="24"/>
          <w:szCs w:val="24"/>
        </w:rPr>
        <w:tab/>
        <w:t>potwierdzanie w Dzienniku Budowy zapisu kierownika budowy o gotowości obiektu budowlanego lub robót budowlanych do odbioru (po zakończeniu robót budowlanych             i wykonaniu niezbędnych prób i sprawdzeń przewidzianych w przepisach odrębnych) oraz nadzór nad należytym urządzeniem i uporządkowaniem terenu inwestycji przez wykonawcę robót budowlanych,</w:t>
      </w:r>
    </w:p>
    <w:p>
      <w:pPr>
        <w:pStyle w:val="style0"/>
        <w:spacing w:after="0" w:before="0" w:line="300" w:lineRule="auto"/>
        <w:contextualSpacing/>
      </w:pPr>
      <w:r>
        <w:rPr>
          <w:sz w:val="24"/>
          <w:szCs w:val="24"/>
        </w:rPr>
        <w:t>•</w:t>
      </w:r>
      <w:r>
        <w:rPr>
          <w:sz w:val="24"/>
          <w:szCs w:val="24"/>
        </w:rPr>
        <w:tab/>
        <w:t>sporządzanie protokołów konieczności – jeżeli wystąpi taka potrzeba,</w:t>
      </w:r>
    </w:p>
    <w:p>
      <w:pPr>
        <w:pStyle w:val="style0"/>
        <w:spacing w:after="0" w:before="0" w:line="300" w:lineRule="auto"/>
        <w:contextualSpacing/>
      </w:pPr>
      <w:r>
        <w:rPr>
          <w:sz w:val="24"/>
          <w:szCs w:val="24"/>
        </w:rPr>
        <w:t>•</w:t>
      </w:r>
      <w:r>
        <w:rPr>
          <w:sz w:val="24"/>
          <w:szCs w:val="24"/>
        </w:rPr>
        <w:tab/>
        <w:t xml:space="preserve">kompletowanie i kontrola wszelkich dokumentów wymaganych od wykonawcy, niezbędnych do odbioru, </w:t>
      </w:r>
    </w:p>
    <w:p>
      <w:pPr>
        <w:pStyle w:val="style0"/>
        <w:spacing w:after="0" w:before="0" w:line="300" w:lineRule="auto"/>
        <w:contextualSpacing/>
      </w:pPr>
      <w:r>
        <w:rPr>
          <w:sz w:val="24"/>
          <w:szCs w:val="24"/>
        </w:rPr>
        <w:t>•</w:t>
      </w:r>
      <w:r>
        <w:rPr>
          <w:sz w:val="24"/>
          <w:szCs w:val="24"/>
        </w:rPr>
        <w:tab/>
        <w:t xml:space="preserve">w uzasadnionych przypadkach zasięganie opinii projektanta i dokonanie koniecznych uzgodnień, </w:t>
      </w:r>
    </w:p>
    <w:p>
      <w:pPr>
        <w:pStyle w:val="style0"/>
        <w:spacing w:after="0" w:before="0" w:line="300" w:lineRule="auto"/>
        <w:contextualSpacing/>
      </w:pPr>
      <w:r>
        <w:rPr>
          <w:sz w:val="24"/>
          <w:szCs w:val="24"/>
        </w:rPr>
        <w:t>•</w:t>
      </w:r>
      <w:r>
        <w:rPr>
          <w:sz w:val="24"/>
          <w:szCs w:val="24"/>
        </w:rPr>
        <w:tab/>
        <w:t>nadzorowanie przestrzegania przez wykonawców zasad bhp i p.poż.,</w:t>
      </w:r>
    </w:p>
    <w:p>
      <w:pPr>
        <w:pStyle w:val="style0"/>
        <w:spacing w:after="0" w:before="0" w:line="300" w:lineRule="auto"/>
        <w:contextualSpacing/>
      </w:pPr>
      <w:r>
        <w:rPr>
          <w:sz w:val="24"/>
          <w:szCs w:val="24"/>
        </w:rPr>
        <w:t>•</w:t>
      </w:r>
      <w:r>
        <w:rPr>
          <w:sz w:val="24"/>
          <w:szCs w:val="24"/>
        </w:rPr>
        <w:tab/>
        <w:t>zawiadomienie odpowiednich organów o wypadkach naruszenia prawa budowlanego stwierdzonych w toku realizacji budowy, dotyczących bezpieczeństwa budowy,</w:t>
      </w:r>
    </w:p>
    <w:p>
      <w:pPr>
        <w:pStyle w:val="style0"/>
        <w:spacing w:after="0" w:before="0" w:line="300" w:lineRule="auto"/>
        <w:contextualSpacing/>
      </w:pPr>
      <w:r>
        <w:rPr>
          <w:sz w:val="24"/>
          <w:szCs w:val="24"/>
        </w:rPr>
        <w:t>•</w:t>
      </w:r>
      <w:r>
        <w:rPr>
          <w:sz w:val="24"/>
          <w:szCs w:val="24"/>
        </w:rPr>
        <w:tab/>
        <w:t>żądanie usunięcia z placu budowy osób niekompetentnych lub innych osób zatrudnionych przez wykonawcę, które utrudniają realizację inwestycji lub powodują jakiekolwiek zagrożenie w trakcie realizacji inwestycji,</w:t>
      </w:r>
    </w:p>
    <w:p>
      <w:pPr>
        <w:pStyle w:val="style0"/>
        <w:spacing w:after="0" w:before="0" w:line="300" w:lineRule="auto"/>
        <w:contextualSpacing/>
      </w:pPr>
      <w:r>
        <w:rPr>
          <w:sz w:val="24"/>
          <w:szCs w:val="24"/>
        </w:rPr>
        <w:t>•</w:t>
      </w:r>
      <w:r>
        <w:rPr>
          <w:sz w:val="24"/>
          <w:szCs w:val="24"/>
        </w:rPr>
        <w:tab/>
        <w:t>dopilnowanie zapewnienia ubezpieczenia budowy przez wykonawcę,</w:t>
      </w:r>
    </w:p>
    <w:p>
      <w:pPr>
        <w:pStyle w:val="style0"/>
        <w:spacing w:after="0" w:before="0" w:line="300" w:lineRule="auto"/>
        <w:contextualSpacing/>
      </w:pPr>
      <w:r>
        <w:rPr>
          <w:sz w:val="24"/>
          <w:szCs w:val="24"/>
        </w:rPr>
        <w:t>•</w:t>
      </w:r>
      <w:r>
        <w:rPr>
          <w:sz w:val="24"/>
          <w:szCs w:val="24"/>
        </w:rPr>
        <w:tab/>
        <w:t>zajmowanie stanowiska co do sposobu zabezpieczenia wszelkich wykopalisk odkrytych przez wykonawcę na placu budowy,</w:t>
      </w:r>
    </w:p>
    <w:p>
      <w:pPr>
        <w:pStyle w:val="style0"/>
        <w:spacing w:after="0" w:before="0" w:line="300" w:lineRule="auto"/>
        <w:contextualSpacing/>
      </w:pPr>
      <w:r>
        <w:rPr>
          <w:sz w:val="24"/>
          <w:szCs w:val="24"/>
        </w:rPr>
        <w:t>•</w:t>
      </w:r>
      <w:r>
        <w:rPr>
          <w:sz w:val="24"/>
          <w:szCs w:val="24"/>
        </w:rPr>
        <w:tab/>
        <w:t>zapewnienie we własnym zakresie transportu w celu dotarcia na budowę,</w:t>
      </w:r>
    </w:p>
    <w:p>
      <w:pPr>
        <w:pStyle w:val="style0"/>
        <w:spacing w:after="0" w:before="0" w:line="300" w:lineRule="auto"/>
        <w:contextualSpacing/>
      </w:pPr>
      <w:r>
        <w:rPr>
          <w:sz w:val="24"/>
          <w:szCs w:val="24"/>
        </w:rPr>
        <w:t>•</w:t>
      </w:r>
      <w:r>
        <w:rPr>
          <w:sz w:val="24"/>
          <w:szCs w:val="24"/>
        </w:rPr>
        <w:tab/>
        <w:t>przekazywanie Zamawiającemu przez wykonawcę faktur podlegających jego weryfikacji niezwłocznie, nie później niż w terminie 3 dni od ich otrzymania,</w:t>
      </w:r>
    </w:p>
    <w:p>
      <w:pPr>
        <w:pStyle w:val="style0"/>
        <w:spacing w:after="0" w:before="0" w:line="300" w:lineRule="auto"/>
        <w:contextualSpacing/>
      </w:pPr>
      <w:r>
        <w:rPr>
          <w:sz w:val="24"/>
          <w:szCs w:val="24"/>
        </w:rPr>
        <w:t>•</w:t>
      </w:r>
      <w:r>
        <w:rPr>
          <w:sz w:val="24"/>
          <w:szCs w:val="24"/>
        </w:rPr>
        <w:tab/>
        <w:t>stawianie się na uzasadnione wezwanie telefoniczne lub inne Zamawiającego lub Wykonawcy robót (pod warunkiem akceptacji Zamawiającego), potwierdzone wpisem na liście obecności,</w:t>
      </w:r>
    </w:p>
    <w:p>
      <w:pPr>
        <w:pStyle w:val="style0"/>
        <w:spacing w:after="0" w:before="0" w:line="300" w:lineRule="auto"/>
        <w:contextualSpacing/>
      </w:pPr>
      <w:r>
        <w:rPr>
          <w:sz w:val="24"/>
          <w:szCs w:val="24"/>
        </w:rPr>
        <w:t>•</w:t>
      </w:r>
      <w:r>
        <w:rPr>
          <w:sz w:val="24"/>
          <w:szCs w:val="24"/>
        </w:rPr>
        <w:tab/>
        <w:t>uczestniczenie w naradach koordynacyjnych w trakcie realizacji robót, pisemne zgłaszanie Zamawiającemu informacji dotyczących ewentualnych zakłóceń związanych         z realizacją prac, w tym również informacji o wszelkich opóźnieniach w realizacji harmonogramu z określeniem przyczyn,</w:t>
      </w:r>
    </w:p>
    <w:p>
      <w:pPr>
        <w:pStyle w:val="style0"/>
        <w:spacing w:after="0" w:before="0" w:line="300" w:lineRule="auto"/>
        <w:contextualSpacing/>
      </w:pPr>
      <w:r>
        <w:rPr>
          <w:sz w:val="24"/>
          <w:szCs w:val="24"/>
        </w:rPr>
        <w:t>•</w:t>
      </w:r>
      <w:r>
        <w:rPr>
          <w:sz w:val="24"/>
          <w:szCs w:val="24"/>
        </w:rPr>
        <w:tab/>
        <w:t>składanie Zamawiającemu comiesięcznych sprawozdań z wykonywania umowy, począwszy od następnego miesiąca po zawarciu umowy,</w:t>
      </w:r>
    </w:p>
    <w:p>
      <w:pPr>
        <w:pStyle w:val="style0"/>
        <w:spacing w:after="0" w:before="0" w:line="300" w:lineRule="auto"/>
        <w:contextualSpacing/>
      </w:pPr>
      <w:r>
        <w:rPr>
          <w:sz w:val="24"/>
          <w:szCs w:val="24"/>
        </w:rPr>
        <w:t>•</w:t>
      </w:r>
      <w:r>
        <w:rPr>
          <w:sz w:val="24"/>
          <w:szCs w:val="24"/>
        </w:rPr>
        <w:tab/>
        <w:t>sprawdzanie dokumentacji powykonawczej oraz wszystkich dokumentów dostarczonych przez wykonawcę robót pod względem ich kompletności, treści merytorycznej i finansowej oraz jej skompletowanie od wykonawcy robót i przekazanie Zamawiającemu po zakończeniu realizacji robót, obejmującej w szczególności (operat kolaudacyjny):</w:t>
      </w:r>
    </w:p>
    <w:p>
      <w:pPr>
        <w:pStyle w:val="style0"/>
        <w:spacing w:after="0" w:before="0" w:line="300" w:lineRule="auto"/>
        <w:contextualSpacing/>
      </w:pPr>
      <w:r>
        <w:rPr>
          <w:sz w:val="24"/>
          <w:szCs w:val="24"/>
        </w:rPr>
        <w:tab/>
        <w:t>-oryginał dziennika budowy;</w:t>
      </w:r>
    </w:p>
    <w:p>
      <w:pPr>
        <w:pStyle w:val="style0"/>
        <w:spacing w:after="0" w:before="0" w:line="300" w:lineRule="auto"/>
        <w:contextualSpacing/>
      </w:pPr>
      <w:r>
        <w:rPr>
          <w:sz w:val="24"/>
          <w:szCs w:val="24"/>
        </w:rPr>
        <w:tab/>
        <w:t>-dokumentację powykonawczą robót objętych przedmiotem umowy;</w:t>
      </w:r>
    </w:p>
    <w:p>
      <w:pPr>
        <w:pStyle w:val="style0"/>
        <w:spacing w:after="0" w:before="0" w:line="300" w:lineRule="auto"/>
        <w:contextualSpacing/>
      </w:pPr>
      <w:r>
        <w:rPr>
          <w:sz w:val="24"/>
          <w:szCs w:val="24"/>
        </w:rPr>
        <w:tab/>
        <w:t>-dokumenty potwierdzające jakość zastosowanych przez Wykonawcę robót budowlanych materiałów i urządzeń (atesty na materiały, urządzenia);</w:t>
      </w:r>
    </w:p>
    <w:p>
      <w:pPr>
        <w:pStyle w:val="style0"/>
        <w:spacing w:after="0" w:before="0" w:line="300" w:lineRule="auto"/>
        <w:contextualSpacing/>
      </w:pPr>
      <w:r>
        <w:rPr>
          <w:sz w:val="24"/>
          <w:szCs w:val="24"/>
        </w:rPr>
        <w:tab/>
        <w:t>-wymagane przepisami, protokoły i zaświadczenia z przeprowadzonych przez Wykonawcę badań i sprawdzeń;</w:t>
      </w:r>
    </w:p>
    <w:p>
      <w:pPr>
        <w:pStyle w:val="style0"/>
        <w:spacing w:after="0" w:before="0" w:line="300" w:lineRule="auto"/>
        <w:contextualSpacing/>
      </w:pPr>
      <w:r>
        <w:rPr>
          <w:sz w:val="24"/>
          <w:szCs w:val="24"/>
        </w:rPr>
        <w:tab/>
        <w:t>-inwentaryzację geodezyjną powykonawczą;</w:t>
      </w:r>
    </w:p>
    <w:p>
      <w:pPr>
        <w:pStyle w:val="style0"/>
        <w:spacing w:after="0" w:before="0" w:line="300" w:lineRule="auto"/>
        <w:contextualSpacing/>
      </w:pPr>
      <w:r>
        <w:rPr>
          <w:sz w:val="24"/>
          <w:szCs w:val="24"/>
        </w:rPr>
        <w:tab/>
        <w:t>-oświadczenie kierownika budowy o zgodności wykonania obiektu budowlanego z projektem budowlanym, warunkami pozwolenia na budowę, przepisami i obowiązującymi Polskimi Normami oraz oświadczenie kierownika budowy o doprowadzeniu do należytego stanu           i porządku terenu budowy;</w:t>
      </w:r>
    </w:p>
    <w:p>
      <w:pPr>
        <w:pStyle w:val="style0"/>
        <w:spacing w:after="0" w:before="0" w:line="300" w:lineRule="auto"/>
        <w:contextualSpacing/>
      </w:pPr>
      <w:r>
        <w:rPr>
          <w:sz w:val="24"/>
          <w:szCs w:val="24"/>
        </w:rPr>
        <w:tab/>
        <w:t>-w przypadku zmian nie odstępujących w sposób istotny od zatwierdzonego projektu              i warunków pozwolenia na budowę, po dołączeniu przez Wykonawcę kopii rysunków wchodzących w skład zatwierdzonego projektu budowlanego, z naniesionymi zmianami         i uzupełniającym opisem, oświadczenie kierownika budowy powinno być zatwierdzone przez projektanta i inspektora nadzoru</w:t>
      </w:r>
    </w:p>
    <w:p>
      <w:pPr>
        <w:pStyle w:val="style0"/>
        <w:spacing w:after="0" w:before="0" w:line="300" w:lineRule="auto"/>
        <w:contextualSpacing/>
      </w:pPr>
      <w:r>
        <w:rPr>
          <w:sz w:val="24"/>
          <w:szCs w:val="24"/>
        </w:rPr>
        <w:tab/>
        <w:t>-dokumenty gwarancyjne wraz  z warunkami gwarancji</w:t>
      </w:r>
    </w:p>
    <w:p>
      <w:pPr>
        <w:pStyle w:val="style0"/>
        <w:spacing w:after="0" w:before="0" w:line="300" w:lineRule="auto"/>
        <w:contextualSpacing/>
      </w:pPr>
      <w:r>
        <w:rPr>
          <w:sz w:val="24"/>
          <w:szCs w:val="24"/>
        </w:rPr>
        <w:tab/>
        <w:t>-inne dokumenty zgromadzone w trakcie realizacji procesu budowlanego</w:t>
      </w:r>
    </w:p>
    <w:p>
      <w:pPr>
        <w:pStyle w:val="style0"/>
        <w:spacing w:after="0" w:before="0" w:line="300" w:lineRule="auto"/>
        <w:contextualSpacing/>
      </w:pPr>
      <w:r>
        <w:rPr>
          <w:sz w:val="24"/>
          <w:szCs w:val="24"/>
        </w:rPr>
        <w:t>•</w:t>
      </w:r>
      <w:r>
        <w:rPr>
          <w:sz w:val="24"/>
          <w:szCs w:val="24"/>
        </w:rPr>
        <w:tab/>
        <w:t>przygotowanie dokumentów związanych z zawiadomieniem właściwego organu         o zakończeniu robót,</w:t>
      </w:r>
    </w:p>
    <w:p>
      <w:pPr>
        <w:pStyle w:val="style0"/>
        <w:spacing w:after="0" w:before="0" w:line="300" w:lineRule="auto"/>
        <w:contextualSpacing/>
      </w:pPr>
      <w:r>
        <w:rPr>
          <w:sz w:val="24"/>
          <w:szCs w:val="24"/>
        </w:rPr>
        <w:t>•</w:t>
      </w:r>
      <w:r>
        <w:rPr>
          <w:sz w:val="24"/>
          <w:szCs w:val="24"/>
        </w:rPr>
        <w:tab/>
        <w:t>zapewnienie sprawowania nadzoru inwestorskiego w sposób nieprzerwany                   i niezakłócony, a w przypadku niemożliwości podjęcia czynności określonych w umowie, zapewnienie uprawnionego zastępstwa</w:t>
      </w:r>
    </w:p>
    <w:p>
      <w:pPr>
        <w:pStyle w:val="style0"/>
        <w:spacing w:after="0" w:before="0" w:line="300" w:lineRule="auto"/>
        <w:contextualSpacing/>
      </w:pPr>
      <w:r>
        <w:rPr>
          <w:sz w:val="24"/>
          <w:szCs w:val="24"/>
        </w:rPr>
        <w:t>•</w:t>
      </w:r>
      <w:r>
        <w:rPr>
          <w:sz w:val="24"/>
          <w:szCs w:val="24"/>
        </w:rPr>
        <w:tab/>
        <w:t>dbanie, aby Wykonawcy realizujący roboty budowlane wykonywali je przy użyciu własnych materiałów zgodnych z dokumentacją przetargową. Zastosowane materiały winny posiadać certyfikaty, deklaracje właściwości użytkowych lub deklaracje zgodności, atesty oraz być zgodne z kryteriami technicznymi zawartymi w specyfikacjach technicznych wykonania i odbioru robót budowlanych i z właściwymi przepisami obowiązującymi             w okresie realizacji umowy.</w:t>
      </w:r>
    </w:p>
    <w:p>
      <w:pPr>
        <w:pStyle w:val="style0"/>
        <w:spacing w:after="0" w:before="0" w:line="300" w:lineRule="auto"/>
        <w:contextualSpacing/>
      </w:pPr>
      <w:r>
        <w:rPr/>
      </w:r>
    </w:p>
    <w:p>
      <w:pPr>
        <w:pStyle w:val="style34"/>
        <w:numPr>
          <w:ilvl w:val="0"/>
          <w:numId w:val="3"/>
        </w:numPr>
        <w:spacing w:after="0" w:before="0" w:line="300" w:lineRule="auto"/>
        <w:ind w:hanging="5" w:left="720" w:right="26"/>
        <w:contextualSpacing/>
      </w:pPr>
      <w:r>
        <w:rPr>
          <w:sz w:val="24"/>
          <w:szCs w:val="24"/>
        </w:rPr>
        <w:t>Termin realizacji umowy:</w:t>
      </w:r>
    </w:p>
    <w:p>
      <w:pPr>
        <w:pStyle w:val="style0"/>
        <w:spacing w:after="0" w:before="0" w:line="300" w:lineRule="auto"/>
        <w:ind w:hanging="5" w:left="5" w:right="26"/>
        <w:contextualSpacing w:val="false"/>
      </w:pPr>
      <w:r>
        <w:rPr>
          <w:sz w:val="24"/>
          <w:szCs w:val="24"/>
        </w:rPr>
        <w:t>l. Rozpoczęcie pełnienia funkcji inspektora nadzoru nastąpi z dniem podpisania umowy.</w:t>
      </w:r>
      <w:r>
        <w:rPr/>
        <w:drawing>
          <wp:inline distB="0" distL="0" distR="0" distT="0">
            <wp:extent cx="14605" cy="14605"/>
            <wp:effectExtent b="0" l="0" r="0" t="0"/>
            <wp:docPr descr="" id="4"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descr="" id="4" name="Picture"/>
                    <pic:cNvPicPr>
                      <a:picLocks noChangeArrowheads="1" noChangeAspect="1"/>
                    </pic:cNvPicPr>
                  </pic:nvPicPr>
                  <pic:blipFill>
                    <a:blip r:embed="rId9"/>
                    <a:srcRect/>
                    <a:stretch>
                      <a:fillRect/>
                    </a:stretch>
                  </pic:blipFill>
                  <pic:spPr bwMode="auto">
                    <a:xfrm>
                      <a:off x="0" y="0"/>
                      <a:ext cx="14605" cy="14605"/>
                    </a:xfrm>
                    <a:prstGeom prst="rect">
                      <a:avLst/>
                    </a:prstGeom>
                    <a:noFill/>
                    <a:ln w="9525">
                      <a:noFill/>
                      <a:miter lim="800000"/>
                      <a:headEnd/>
                      <a:tailEnd/>
                    </a:ln>
                  </pic:spPr>
                </pic:pic>
              </a:graphicData>
            </a:graphic>
          </wp:inline>
        </w:drawing>
      </w:r>
    </w:p>
    <w:p>
      <w:pPr>
        <w:pStyle w:val="style0"/>
        <w:spacing w:after="0" w:before="0" w:line="300" w:lineRule="auto"/>
        <w:ind w:hanging="5" w:left="5" w:right="26"/>
        <w:contextualSpacing w:val="false"/>
      </w:pPr>
      <w:r>
        <w:rPr>
          <w:sz w:val="24"/>
          <w:szCs w:val="24"/>
        </w:rPr>
        <w:t>2. Zakończenie pełnienia nadzoru inwestorskiego przy realizacji zadania inwestycyjnego nastąpi po zakończeniu robót i usunięciu usterek, stwierdzonych w trakcie odbioru końcowego i rozliczenia kosztów oraz zaakceptowania przez Zamawiającego protokołu końcowego wykonania Inwestycji i uzyskania ostatecznego pozwolenia na użytkowanie       w zakresie Grupy 1, a także zatwierdzenia końcowego rozliczenia w instytucjach współfinansujących. Przewidywany termin zakończenia realizacji nadzorowanej inwestycji nastąpi z chwilą zakończenia realizacji inwestycji. Przewidywany termin zakończenia robót budowlanych nadzorowanej inwestycji max. do dnia 13.09.2019 r. Termin zakończenia robót budowlanych rozumiany jest jako data zgłoszenia Zamawiającemu gotowości do odbioru końcowego wraz z kompletną dokumentacją odbiorową potwierdzoną przez Inspektora Nadzoru wraz z decyzją o pozwoleniu na użytkowanie obiektu.</w:t>
      </w:r>
    </w:p>
    <w:p>
      <w:pPr>
        <w:pStyle w:val="style0"/>
        <w:spacing w:after="0" w:before="0" w:line="300" w:lineRule="auto"/>
        <w:ind w:hanging="5" w:left="5" w:right="26"/>
        <w:contextualSpacing/>
      </w:pPr>
      <w:r>
        <w:rPr>
          <w:sz w:val="24"/>
          <w:szCs w:val="24"/>
        </w:rPr>
        <w:t xml:space="preserve">3. Inspektor będzie pełnił również swoje obowiązki w okresie rękojmi nadzorowanej umowy </w:t>
      </w:r>
      <w:r>
        <w:rPr/>
        <w:drawing>
          <wp:inline distB="0" distL="0" distR="0" distT="0">
            <wp:extent cx="14605" cy="14605"/>
            <wp:effectExtent b="0" l="0" r="0" t="0"/>
            <wp:docPr descr="" id="5"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descr="" id="5" name="Picture"/>
                    <pic:cNvPicPr>
                      <a:picLocks noChangeArrowheads="1" noChangeAspect="1"/>
                    </pic:cNvPicPr>
                  </pic:nvPicPr>
                  <pic:blipFill>
                    <a:blip r:embed="rId10"/>
                    <a:srcRect/>
                    <a:stretch>
                      <a:fillRect/>
                    </a:stretch>
                  </pic:blipFill>
                  <pic:spPr bwMode="auto">
                    <a:xfrm>
                      <a:off x="0" y="0"/>
                      <a:ext cx="14605" cy="14605"/>
                    </a:xfrm>
                    <a:prstGeom prst="rect">
                      <a:avLst/>
                    </a:prstGeom>
                    <a:noFill/>
                    <a:ln w="9525">
                      <a:noFill/>
                      <a:miter lim="800000"/>
                      <a:headEnd/>
                      <a:tailEnd/>
                    </a:ln>
                  </pic:spPr>
                </pic:pic>
              </a:graphicData>
            </a:graphic>
          </wp:inline>
        </w:drawing>
      </w:r>
      <w:r>
        <w:rPr>
          <w:sz w:val="24"/>
          <w:szCs w:val="24"/>
        </w:rPr>
        <w:t>na roboty budowlane zgodnie z okresem rękojmi ustalonym w umowie z Wykonawcą.</w:t>
      </w:r>
      <w:r>
        <w:rPr/>
        <w:drawing>
          <wp:inline distB="0" distL="0" distR="0" distT="0">
            <wp:extent cx="18415" cy="14605"/>
            <wp:effectExtent b="0" l="0" r="0" t="0"/>
            <wp:docPr descr="" id="6"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descr="" id="6" name="Picture"/>
                    <pic:cNvPicPr>
                      <a:picLocks noChangeArrowheads="1" noChangeAspect="1"/>
                    </pic:cNvPicPr>
                  </pic:nvPicPr>
                  <pic:blipFill>
                    <a:blip r:embed="rId11"/>
                    <a:srcRect/>
                    <a:stretch>
                      <a:fillRect/>
                    </a:stretch>
                  </pic:blipFill>
                  <pic:spPr bwMode="auto">
                    <a:xfrm>
                      <a:off x="0" y="0"/>
                      <a:ext cx="18415" cy="14605"/>
                    </a:xfrm>
                    <a:prstGeom prst="rect">
                      <a:avLst/>
                    </a:prstGeom>
                    <a:noFill/>
                    <a:ln w="9525">
                      <a:noFill/>
                      <a:miter lim="800000"/>
                      <a:headEnd/>
                      <a:tailEnd/>
                    </a:ln>
                  </pic:spPr>
                </pic:pic>
              </a:graphicData>
            </a:graphic>
          </wp:inline>
        </w:drawing>
      </w:r>
    </w:p>
    <w:p>
      <w:pPr>
        <w:pStyle w:val="style0"/>
        <w:spacing w:after="0" w:before="0" w:line="300" w:lineRule="auto"/>
        <w:contextualSpacing/>
      </w:pPr>
      <w:r>
        <w:rPr>
          <w:sz w:val="24"/>
          <w:szCs w:val="24"/>
        </w:rPr>
        <w:t xml:space="preserve">4. Wymaga się aby Inspektor nadzoru inwestorskiego, podpisał umowę na pełnienie funkcji inspektora nadzoru inwestorskiego na zasadach określonych we wzorze umowy, który </w:t>
      </w:r>
      <w:r>
        <w:rPr/>
        <w:drawing>
          <wp:inline distB="0" distL="0" distR="0" distT="0">
            <wp:extent cx="14605" cy="14605"/>
            <wp:effectExtent b="0" l="0" r="0" t="0"/>
            <wp:docPr descr="" id="7"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descr="" id="7" name="Picture"/>
                    <pic:cNvPicPr>
                      <a:picLocks noChangeArrowheads="1" noChangeAspect="1"/>
                    </pic:cNvPicPr>
                  </pic:nvPicPr>
                  <pic:blipFill>
                    <a:blip r:embed="rId12"/>
                    <a:srcRect/>
                    <a:stretch>
                      <a:fillRect/>
                    </a:stretch>
                  </pic:blipFill>
                  <pic:spPr bwMode="auto">
                    <a:xfrm>
                      <a:off x="0" y="0"/>
                      <a:ext cx="14605" cy="14605"/>
                    </a:xfrm>
                    <a:prstGeom prst="rect">
                      <a:avLst/>
                    </a:prstGeom>
                    <a:noFill/>
                    <a:ln w="9525">
                      <a:noFill/>
                      <a:miter lim="800000"/>
                      <a:headEnd/>
                      <a:tailEnd/>
                    </a:ln>
                  </pic:spPr>
                </pic:pic>
              </a:graphicData>
            </a:graphic>
          </wp:inline>
        </w:drawing>
      </w:r>
      <w:r>
        <w:rPr>
          <w:sz w:val="24"/>
          <w:szCs w:val="24"/>
        </w:rPr>
        <w:t>stanowi załącznik nr 4 do niniejszego zaproszenia oraz aby wywiązywał się z obowiązków wynikających tej umowy.</w:t>
      </w:r>
    </w:p>
    <w:p>
      <w:pPr>
        <w:pStyle w:val="style0"/>
        <w:spacing w:after="0" w:before="0" w:line="300" w:lineRule="auto"/>
        <w:contextualSpacing/>
      </w:pPr>
      <w:r>
        <w:rPr/>
      </w:r>
    </w:p>
    <w:p>
      <w:pPr>
        <w:pStyle w:val="style0"/>
        <w:spacing w:after="0" w:before="0" w:line="300" w:lineRule="auto"/>
        <w:contextualSpacing/>
      </w:pPr>
      <w:r>
        <w:rPr/>
      </w:r>
    </w:p>
    <w:p>
      <w:pPr>
        <w:pStyle w:val="style34"/>
        <w:numPr>
          <w:ilvl w:val="0"/>
          <w:numId w:val="3"/>
        </w:numPr>
        <w:spacing w:after="0" w:before="0" w:line="300" w:lineRule="auto"/>
        <w:contextualSpacing/>
      </w:pPr>
      <w:r>
        <w:rPr>
          <w:sz w:val="24"/>
          <w:szCs w:val="24"/>
        </w:rPr>
        <w:t>Warunki udziału w postępowaniu:</w:t>
      </w:r>
    </w:p>
    <w:p>
      <w:pPr>
        <w:pStyle w:val="style0"/>
        <w:spacing w:after="0" w:before="0" w:line="300" w:lineRule="auto"/>
        <w:ind w:hanging="5" w:left="5" w:right="26"/>
        <w:contextualSpacing/>
      </w:pPr>
      <w:r>
        <w:rPr>
          <w:sz w:val="24"/>
          <w:szCs w:val="24"/>
        </w:rPr>
        <w:t xml:space="preserve">1. Zamawiający wymaga, aby Wykonawca dysponował osobami posiadającymi uprawnienia do pełnienia nadzoru nad robotami budowlanymi dla branż objętych przedmiotem zamówienia, tj.: </w:t>
      </w:r>
    </w:p>
    <w:p>
      <w:pPr>
        <w:pStyle w:val="style34"/>
        <w:numPr>
          <w:ilvl w:val="0"/>
          <w:numId w:val="5"/>
        </w:numPr>
        <w:spacing w:after="0" w:before="0" w:line="300" w:lineRule="auto"/>
        <w:ind w:hanging="5" w:left="720" w:right="26"/>
        <w:contextualSpacing/>
      </w:pPr>
      <w:r>
        <w:rPr>
          <w:sz w:val="24"/>
          <w:szCs w:val="24"/>
        </w:rPr>
        <w:t xml:space="preserve">minimum jedną osobą posiadającą uprawnienia do nadzorowania robót budowlanych w specjalności konstrukcyjno -budowlanej bez ograniczeń; posiadająca co najmniej 3 -letnie doświadczenie w nadzorowaniu budowy (min. 1 budowa). </w:t>
      </w:r>
    </w:p>
    <w:p>
      <w:pPr>
        <w:pStyle w:val="style34"/>
        <w:numPr>
          <w:ilvl w:val="0"/>
          <w:numId w:val="5"/>
        </w:numPr>
        <w:spacing w:after="0" w:before="0" w:line="300" w:lineRule="auto"/>
        <w:ind w:hanging="5" w:left="720" w:right="26"/>
        <w:contextualSpacing/>
      </w:pPr>
      <w:r>
        <w:rPr>
          <w:sz w:val="24"/>
          <w:szCs w:val="24"/>
        </w:rPr>
        <w:t xml:space="preserve">minimum jedną osobą posiadającą uprawnienia do nadzorowania robotami budowlanymi w specjalności instalacyjnej w zakresie sieci, instalacji i urządzeń elektrycznych i elektroenergetycznych  bez ograniczeń; posiadająca minimum 2 letnie doświadczenie na stanowiskach inspektora nadzoru (min. 1 budowa). </w:t>
      </w:r>
    </w:p>
    <w:p>
      <w:pPr>
        <w:pStyle w:val="style34"/>
        <w:numPr>
          <w:ilvl w:val="0"/>
          <w:numId w:val="5"/>
        </w:numPr>
        <w:spacing w:after="0" w:before="0" w:line="300" w:lineRule="auto"/>
        <w:ind w:hanging="5" w:left="720" w:right="26"/>
        <w:contextualSpacing/>
      </w:pPr>
      <w:r>
        <w:rPr>
          <w:sz w:val="24"/>
          <w:szCs w:val="24"/>
        </w:rPr>
        <w:t xml:space="preserve">minimum jedną osobą posiadającą uprawnienia do nadzorowania robót budowlanych w specjalności instalacyjnej w zakresie sieci, instalacji i urządzeń cieplnych, wentylacyjnych, gazowych, wodociągowych, kanalizacyjnych bez ograniczeń; posiadająca minimum 2 letnie doświadczenie na stanowiskach inspektora nadzoru (min. 1 budowa). </w:t>
      </w:r>
    </w:p>
    <w:p>
      <w:pPr>
        <w:pStyle w:val="style0"/>
        <w:spacing w:after="0" w:before="0" w:line="300" w:lineRule="auto"/>
        <w:ind w:hanging="5" w:left="5" w:right="26"/>
        <w:contextualSpacing/>
      </w:pPr>
      <w:r>
        <w:rPr/>
      </w:r>
    </w:p>
    <w:p>
      <w:pPr>
        <w:pStyle w:val="style0"/>
        <w:spacing w:after="0" w:before="0" w:line="300" w:lineRule="auto"/>
        <w:ind w:hanging="5" w:left="5" w:right="26"/>
        <w:contextualSpacing/>
      </w:pPr>
      <w:r>
        <w:rPr>
          <w:sz w:val="24"/>
          <w:szCs w:val="24"/>
        </w:rPr>
        <w:t>Zamawiający dopuszcza by wskazana/e osoba/y łączyły w sobie kompetencje (wymagane kwalifikacje, uprawnienia).</w:t>
      </w:r>
    </w:p>
    <w:p>
      <w:pPr>
        <w:pStyle w:val="style0"/>
        <w:spacing w:after="0" w:before="0" w:line="300" w:lineRule="auto"/>
        <w:ind w:hanging="5" w:left="5" w:right="26"/>
        <w:contextualSpacing/>
      </w:pPr>
      <w:r>
        <w:rPr>
          <w:sz w:val="24"/>
          <w:szCs w:val="24"/>
        </w:rPr>
        <w:t>W przypadku Wykonawców wspólnie ubiegających się o udzielenie zamówienia                 np. Konsorcjum powyższy warunek musi spełnić przynajmniej jeden z Wykonawców ubiegających się wspólnie o udzielenie zamówienia np. członek Konsorcjum.</w:t>
      </w:r>
    </w:p>
    <w:p>
      <w:pPr>
        <w:pStyle w:val="style0"/>
        <w:spacing w:after="0" w:before="0" w:line="300" w:lineRule="auto"/>
        <w:ind w:hanging="5" w:left="5" w:right="26"/>
        <w:contextualSpacing/>
      </w:pPr>
      <w:r>
        <w:rPr/>
      </w:r>
    </w:p>
    <w:p>
      <w:pPr>
        <w:pStyle w:val="style0"/>
        <w:spacing w:after="0" w:before="0" w:line="300" w:lineRule="auto"/>
        <w:ind w:hanging="5" w:left="5" w:right="26"/>
        <w:contextualSpacing/>
      </w:pPr>
      <w:r>
        <w:rPr>
          <w:sz w:val="24"/>
          <w:szCs w:val="24"/>
        </w:rPr>
        <w:t xml:space="preserve">Wskazane powyżej osoby muszą przynależeć  do właściwej  izby samorządu zawodowego    z datą ważności na dzień otwarcia ofert. </w:t>
      </w:r>
    </w:p>
    <w:p>
      <w:pPr>
        <w:pStyle w:val="style0"/>
        <w:spacing w:after="0" w:before="0" w:line="300" w:lineRule="auto"/>
        <w:ind w:hanging="5" w:left="5" w:right="26"/>
        <w:contextualSpacing/>
      </w:pPr>
      <w:r>
        <w:rPr>
          <w:sz w:val="24"/>
          <w:szCs w:val="24"/>
        </w:rPr>
        <w:t>Zamawiający uznaje wymagane uprawnienia do kierowania robotami budowlanymi określone w rozporządzeniu Ministra Infrastruktury i rozwoju  z dnia 11 września 2014 r.       w sprawie samodzielnych funkcji technicznych w budownictwie (Dz. U. z 2014 r., poz. 1278) oraz uprawnienia obowiązujące wydane na podstawie wcześniej obowiązujących przepisów prawnych, a także zgodnie z art. 12a ustawy z dnia 7 lipca 1994 r. - Prawo budowlane (Dz. U. z 2016 r., poz. 290, z późn. zm.), Zamawiający uznaje również wymagane uprawnienia budowlane do kierowania robotami budowlanymi nabyte w innych niż Rzeczpospolita Polska państwach członkowskich Unii Europejskiej, państwach członkowskich Europejskiego Porozumienia o Wolnym Handlu (EFTA) - stronach umowy    o Europejskim Obszarze Gospodarczym, Konfederacji Szwajcarskiej, na zasadach określonych w ustawie z dnia 22 grudnia 2015 r. o zasadach uznawania kwalifikacji zawodowych nabytych w państwach członkowskich Unii Europejskiej (Dz. U. z 2016 r., poz. 65). W przypadku osób, które są obywatelami państw członkowskich Unii Europejskiej, Konfederacji Szwajcarskiej oraz państw członkowskich Europejskiego Porozumienia             o Wolnym Handlu (EFTA) - stron umowy o Europejskim Obszarze Gospodarczym              (w rozumieniu art. 4a ust. 2 ustawy z dnia 15 grudnia 2000 r. o samorządach zawodowych architektów oraz inżynierów budownictwa (Dz. U. z 2014 r. poz. 1946, z późn. zm.), osoby wyznaczone do realizacji zamówienia posiadają uprawnienia budowlane do kierowania robotami budowlanymi, jeżeli:</w:t>
      </w:r>
    </w:p>
    <w:p>
      <w:pPr>
        <w:pStyle w:val="style0"/>
        <w:spacing w:after="0" w:before="0" w:line="300" w:lineRule="auto"/>
        <w:ind w:hanging="5" w:left="5" w:right="26"/>
        <w:contextualSpacing/>
      </w:pPr>
      <w:r>
        <w:rPr>
          <w:sz w:val="24"/>
          <w:szCs w:val="24"/>
        </w:rPr>
        <w:t xml:space="preserve"> </w:t>
      </w:r>
      <w:r>
        <w:rPr>
          <w:sz w:val="24"/>
          <w:szCs w:val="24"/>
        </w:rPr>
        <w:t xml:space="preserve">a) nabyły kwalifikacje zawodowe do wykonywania działalności w budownictwie, równoznacznej wykonywaniu samodzielnych funkcji technicznych w budownictwie na terytorium Rzeczypospolitej Polskiej, odpowiadające posiadaniu uprawnień budowlanych do kierowania robotami budowlanymi, oraz </w:t>
      </w:r>
    </w:p>
    <w:p>
      <w:pPr>
        <w:pStyle w:val="style0"/>
        <w:spacing w:after="0" w:before="0" w:line="300" w:lineRule="auto"/>
        <w:ind w:hanging="5" w:left="5" w:right="26"/>
        <w:contextualSpacing/>
      </w:pPr>
      <w:r>
        <w:rPr>
          <w:sz w:val="24"/>
          <w:szCs w:val="24"/>
        </w:rPr>
        <w:t>b) posiadają odpowiednią decyzję o uznaniu kwalifikacji zawodowych lub w przypadku braku decyzji o uznaniu kwalifikacji zawodowych - zostały spełnione w stosunku do tych osób wymagania, o których mowa w art. 20a ust. 2-6 ustawy z dnia 15 grudnia 2000r.            o samorządach zawodowych architektów oraz inżynierów budownictwa, dotyczące świadczenia usług transgranicznych.</w:t>
      </w:r>
    </w:p>
    <w:p>
      <w:pPr>
        <w:pStyle w:val="style0"/>
        <w:spacing w:after="0" w:before="0" w:line="300" w:lineRule="auto"/>
        <w:ind w:hanging="5" w:left="5" w:right="26"/>
        <w:contextualSpacing/>
      </w:pPr>
      <w:r>
        <w:rPr/>
      </w:r>
    </w:p>
    <w:p>
      <w:pPr>
        <w:pStyle w:val="style0"/>
        <w:spacing w:after="0" w:before="0" w:line="300" w:lineRule="auto"/>
        <w:ind w:hanging="5" w:left="5" w:right="26"/>
        <w:contextualSpacing/>
      </w:pPr>
      <w:r>
        <w:rPr>
          <w:sz w:val="24"/>
          <w:szCs w:val="24"/>
        </w:rPr>
        <w:t>Weryfikacja spełnienia warunku na podstawie Oświadczenia — Załącznik nr 2 do Zapytania ofertowego.</w:t>
      </w:r>
    </w:p>
    <w:p>
      <w:pPr>
        <w:pStyle w:val="style0"/>
        <w:spacing w:after="0" w:before="0" w:line="300" w:lineRule="auto"/>
        <w:ind w:hanging="5" w:left="5" w:right="26"/>
        <w:contextualSpacing/>
      </w:pPr>
      <w:r>
        <w:rPr/>
      </w:r>
    </w:p>
    <w:p>
      <w:pPr>
        <w:pStyle w:val="style0"/>
        <w:spacing w:after="0" w:before="0" w:line="300" w:lineRule="auto"/>
        <w:ind w:hanging="5" w:left="5" w:right="26"/>
        <w:contextualSpacing/>
      </w:pPr>
      <w:r>
        <w:rPr>
          <w:sz w:val="24"/>
          <w:szCs w:val="24"/>
        </w:rPr>
        <w:t xml:space="preserve">2.  Wykonawca musi wykazać, że w okresie ostatnich 3 lat przed upływem terminu składania ofert, a jeżeli okres prowadzenia działalności jest krótszy - w tym okresie, pełnił funkcję nadzoru inwestorskiego, zgodnie z zasadami sztuki budowlanej dla co najmniej 1 roboty budowlanej polegającej na zrealizowaniu budowy, nadbudowy, przebudowy lub remontu budynku o powierzchni nie mniejszej niż 300 m2 , o wartości nadzorowanych robót co najmniej 800 000,00 zł brutto. </w:t>
      </w:r>
    </w:p>
    <w:p>
      <w:pPr>
        <w:pStyle w:val="style0"/>
        <w:spacing w:after="0" w:before="0" w:line="300" w:lineRule="auto"/>
        <w:ind w:hanging="5" w:left="5" w:right="26"/>
        <w:contextualSpacing/>
      </w:pPr>
      <w:r>
        <w:rPr/>
      </w:r>
    </w:p>
    <w:p>
      <w:pPr>
        <w:pStyle w:val="style0"/>
        <w:spacing w:after="0" w:before="0" w:line="300" w:lineRule="auto"/>
        <w:ind w:hanging="5" w:left="5" w:right="26"/>
        <w:contextualSpacing/>
      </w:pPr>
      <w:r>
        <w:rPr>
          <w:sz w:val="24"/>
          <w:szCs w:val="24"/>
        </w:rPr>
        <w:t>W przypadku Wykonawców wspólnie ubiegających się o udzielenie zamówienia np. Konsorcjum powyższy warunek musi spełnić przynajmniej jeden z Wykonawców ubiegających się wspólnie o udzielenie zamówienia np. członek Konsorcjum.</w:t>
      </w:r>
    </w:p>
    <w:p>
      <w:pPr>
        <w:pStyle w:val="style0"/>
        <w:spacing w:after="0" w:before="0" w:line="300" w:lineRule="auto"/>
        <w:ind w:hanging="5" w:left="5" w:right="26"/>
        <w:contextualSpacing/>
      </w:pPr>
      <w:r>
        <w:rPr/>
      </w:r>
    </w:p>
    <w:p>
      <w:pPr>
        <w:pStyle w:val="style0"/>
        <w:spacing w:after="0" w:before="0" w:line="300" w:lineRule="auto"/>
        <w:ind w:hanging="5" w:left="5" w:right="26"/>
        <w:contextualSpacing/>
      </w:pPr>
      <w:r>
        <w:rPr>
          <w:sz w:val="24"/>
          <w:szCs w:val="24"/>
        </w:rPr>
        <w:t>Weryfikacja spełnienia warunku na podstawie wykazu usług – załącznik nr 3 wykonanych nie wcześniej niż w okresie ostatnich 3 lat przed upływem terminu składania ofert, a jeżeli okres prowadzenia działalności jest krótszy - w tym okresie, wraz z podaniem ich wartości, przedmiotu, dat wykonania i podmiotów, na rzecz których usługi zostały wykonane, oraz załączeniem dowodów określających czy te usługi zostały wykonane należycie,  przy czym dowodami, o których mowa, są referencje bądź inne dokumenty wystawione przez podmiot, na rzecz którego usługi były wykonywane, a jeżeli z uzasadnionej przyczyny o obiektywnym charakterze wykonawca nie jest w stanie uzyskać tych dokumentów – oświadczenie wykonawcy.</w:t>
      </w:r>
    </w:p>
    <w:p>
      <w:pPr>
        <w:pStyle w:val="style0"/>
        <w:spacing w:after="0" w:before="0" w:line="300" w:lineRule="auto"/>
        <w:ind w:hanging="5" w:left="5" w:right="26"/>
        <w:contextualSpacing/>
      </w:pPr>
      <w:r>
        <w:rPr/>
      </w:r>
    </w:p>
    <w:p>
      <w:pPr>
        <w:pStyle w:val="style0"/>
        <w:spacing w:after="0" w:before="0" w:line="300" w:lineRule="auto"/>
        <w:ind w:hanging="5" w:left="5" w:right="26"/>
        <w:contextualSpacing/>
      </w:pPr>
      <w:r>
        <w:rPr/>
      </w:r>
    </w:p>
    <w:p>
      <w:pPr>
        <w:pStyle w:val="style0"/>
        <w:spacing w:after="0" w:before="0" w:line="300" w:lineRule="auto"/>
        <w:ind w:hanging="5" w:left="5" w:right="26"/>
        <w:contextualSpacing/>
      </w:pPr>
      <w:r>
        <w:rPr/>
      </w:r>
    </w:p>
    <w:p>
      <w:pPr>
        <w:pStyle w:val="style0"/>
        <w:spacing w:after="0" w:before="0" w:line="300" w:lineRule="auto"/>
        <w:ind w:hanging="5" w:left="5" w:right="26"/>
        <w:contextualSpacing/>
      </w:pPr>
      <w:r>
        <w:rPr/>
      </w:r>
    </w:p>
    <w:p>
      <w:pPr>
        <w:pStyle w:val="style0"/>
        <w:spacing w:after="0" w:before="0" w:line="300" w:lineRule="auto"/>
        <w:ind w:hanging="0" w:left="0" w:right="0"/>
        <w:contextualSpacing/>
      </w:pPr>
      <w:r>
        <w:rPr>
          <w:sz w:val="24"/>
          <w:szCs w:val="24"/>
        </w:rPr>
        <w:t xml:space="preserve">V. </w:t>
        <w:tab/>
        <w:t>Kryteria oceny ofert</w:t>
      </w:r>
    </w:p>
    <w:p>
      <w:pPr>
        <w:pStyle w:val="style0"/>
        <w:spacing w:after="0" w:before="0" w:line="300" w:lineRule="auto"/>
        <w:contextualSpacing/>
      </w:pPr>
      <w:r>
        <w:rPr>
          <w:sz w:val="24"/>
          <w:szCs w:val="24"/>
        </w:rPr>
        <w:t>cena — 100% = 100 pkt</w:t>
      </w:r>
    </w:p>
    <w:p>
      <w:pPr>
        <w:pStyle w:val="style0"/>
        <w:spacing w:after="0" w:before="0" w:line="300" w:lineRule="auto"/>
        <w:contextualSpacing/>
      </w:pPr>
      <w:r>
        <w:rPr>
          <w:sz w:val="24"/>
          <w:szCs w:val="24"/>
        </w:rPr>
        <w:t>Przez cenę oferty należy rozumieć cenę brutto za wykonanie przedmiotu zamówienia, podaną przez Wykonawcę w Formularzu oferty.</w:t>
      </w:r>
    </w:p>
    <w:p>
      <w:pPr>
        <w:pStyle w:val="style0"/>
        <w:spacing w:after="0" w:before="0" w:line="300" w:lineRule="auto"/>
        <w:contextualSpacing/>
      </w:pPr>
      <w:r>
        <w:rPr>
          <w:sz w:val="24"/>
          <w:szCs w:val="24"/>
        </w:rPr>
        <w:t>Cenę oferty należy podać w złotych polskich z dokładnością do dwóch miejsc po przecinku.  Przy obliczaniu ceny należy uwzględnić, że cena będzie obowiązywać strony przez cały okres  realizacji zamówienia. Jeżeli złożono ofertę, której wybór prowadziłyby do powstania obowiązku podatkowego Zamawiającego, zgodnie z przepisami o podatku od towarów           i usług w zakresie dotyczącym wewnątrzwspólnotowego nabycia towarów, Zamawiający       w celu oceny takiej oferty dolicza do przedstawionej w niej ceny podatek od towarów i usług, który miałby obowiązek wpłacić zgodnie z obowiązującymi przepisami.</w:t>
      </w:r>
    </w:p>
    <w:p>
      <w:pPr>
        <w:pStyle w:val="style0"/>
        <w:spacing w:after="0" w:before="0" w:line="300" w:lineRule="auto"/>
        <w:ind w:hanging="10" w:left="183" w:right="0"/>
        <w:contextualSpacing/>
      </w:pPr>
      <w:r>
        <w:rPr/>
      </w:r>
    </w:p>
    <w:p>
      <w:pPr>
        <w:pStyle w:val="style34"/>
        <w:numPr>
          <w:ilvl w:val="0"/>
          <w:numId w:val="4"/>
        </w:numPr>
        <w:spacing w:after="0" w:before="0" w:line="300" w:lineRule="auto"/>
        <w:contextualSpacing/>
      </w:pPr>
      <w:r>
        <w:rPr>
          <w:sz w:val="24"/>
          <w:szCs w:val="24"/>
        </w:rPr>
        <w:t>Termin i miejsce składania ofert:</w:t>
      </w:r>
    </w:p>
    <w:p>
      <w:pPr>
        <w:pStyle w:val="style0"/>
        <w:spacing w:after="0" w:before="0" w:line="300" w:lineRule="auto"/>
        <w:ind w:hanging="5" w:left="5" w:right="26"/>
        <w:contextualSpacing/>
      </w:pPr>
      <w:r>
        <w:rPr>
          <w:sz w:val="24"/>
          <w:szCs w:val="24"/>
        </w:rPr>
        <w:t xml:space="preserve">1. Oferty należy złożyć w siedzibie DPS: Dom Pomocy Społecznej w Miechowie                 ul. Warszawska 49 A, 32 – 200 Miechów lub przesłać drogą elektroniczną na adres e-mail: </w:t>
      </w:r>
      <w:hyperlink r:id="rId13">
        <w:r>
          <w:rPr>
            <w:rStyle w:val="style19"/>
            <w:rStyle w:val="style19"/>
            <w:sz w:val="24"/>
            <w:szCs w:val="24"/>
            <w:u w:val="none"/>
          </w:rPr>
          <w:t>dps.miechow@interia.pl</w:t>
        </w:r>
      </w:hyperlink>
      <w:r>
        <w:rPr>
          <w:sz w:val="24"/>
          <w:szCs w:val="24"/>
          <w:u w:val="single"/>
        </w:rPr>
        <w:t xml:space="preserve">  </w:t>
      </w:r>
      <w:r>
        <w:rPr>
          <w:sz w:val="24"/>
          <w:szCs w:val="24"/>
        </w:rPr>
        <w:t>do dnia</w:t>
      </w:r>
      <w:r>
        <w:rPr>
          <w:sz w:val="24"/>
          <w:szCs w:val="24"/>
          <w:u w:val="single"/>
        </w:rPr>
        <w:t xml:space="preserve">  </w:t>
      </w:r>
      <w:r>
        <w:rPr>
          <w:b/>
          <w:bCs/>
          <w:sz w:val="24"/>
          <w:szCs w:val="24"/>
          <w:u w:val="single"/>
        </w:rPr>
        <w:t>0</w:t>
      </w:r>
      <w:r>
        <w:rPr>
          <w:b/>
          <w:bCs/>
          <w:sz w:val="24"/>
          <w:szCs w:val="24"/>
          <w:u w:val="single"/>
        </w:rPr>
        <w:t>8</w:t>
      </w:r>
      <w:r>
        <w:rPr>
          <w:b/>
          <w:bCs/>
          <w:sz w:val="24"/>
          <w:szCs w:val="24"/>
          <w:u w:val="single"/>
        </w:rPr>
        <w:t xml:space="preserve">.02.2019 </w:t>
      </w:r>
      <w:r>
        <w:rPr>
          <w:sz w:val="24"/>
          <w:szCs w:val="24"/>
          <w:u w:val="single"/>
        </w:rPr>
        <w:t xml:space="preserve">r., </w:t>
      </w:r>
      <w:r>
        <w:rPr>
          <w:sz w:val="24"/>
          <w:szCs w:val="24"/>
        </w:rPr>
        <w:t>do godz.</w:t>
      </w:r>
      <w:r>
        <w:rPr>
          <w:sz w:val="24"/>
          <w:szCs w:val="24"/>
          <w:u w:val="single"/>
        </w:rPr>
        <w:t xml:space="preserve"> </w:t>
      </w:r>
      <w:r>
        <w:rPr>
          <w:b/>
          <w:bCs/>
          <w:sz w:val="24"/>
          <w:szCs w:val="24"/>
          <w:u w:val="single"/>
        </w:rPr>
        <w:t xml:space="preserve"> 9:00.</w:t>
      </w:r>
    </w:p>
    <w:p>
      <w:pPr>
        <w:pStyle w:val="style0"/>
        <w:spacing w:after="0" w:before="0" w:line="300" w:lineRule="auto"/>
        <w:ind w:hanging="5" w:left="5" w:right="26"/>
        <w:contextualSpacing/>
      </w:pPr>
      <w:r>
        <w:rPr>
          <w:sz w:val="24"/>
          <w:szCs w:val="24"/>
        </w:rPr>
        <w:t>2. Na ofercie należy umieścić napis:</w:t>
      </w:r>
      <w:r>
        <w:rPr/>
        <w:drawing>
          <wp:inline distB="0" distL="0" distR="0" distT="0">
            <wp:extent cx="14605" cy="14605"/>
            <wp:effectExtent b="0" l="0" r="0" t="0"/>
            <wp:docPr descr="" id="8"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descr="" id="8" name="Picture"/>
                    <pic:cNvPicPr>
                      <a:picLocks noChangeArrowheads="1" noChangeAspect="1"/>
                    </pic:cNvPicPr>
                  </pic:nvPicPr>
                  <pic:blipFill>
                    <a:blip r:embed="rId14"/>
                    <a:srcRect/>
                    <a:stretch>
                      <a:fillRect/>
                    </a:stretch>
                  </pic:blipFill>
                  <pic:spPr bwMode="auto">
                    <a:xfrm>
                      <a:off x="0" y="0"/>
                      <a:ext cx="14605" cy="14605"/>
                    </a:xfrm>
                    <a:prstGeom prst="rect">
                      <a:avLst/>
                    </a:prstGeom>
                    <a:noFill/>
                    <a:ln w="9525">
                      <a:noFill/>
                      <a:miter lim="800000"/>
                      <a:headEnd/>
                      <a:tailEnd/>
                    </a:ln>
                  </pic:spPr>
                </pic:pic>
              </a:graphicData>
            </a:graphic>
          </wp:inline>
        </w:drawing>
      </w:r>
    </w:p>
    <w:p>
      <w:pPr>
        <w:pStyle w:val="style0"/>
        <w:spacing w:after="0" w:before="0" w:line="300" w:lineRule="auto"/>
        <w:ind w:hanging="10" w:left="300" w:right="0"/>
        <w:contextualSpacing/>
      </w:pPr>
      <w:r>
        <w:rPr/>
        <w:drawing>
          <wp:inline distB="0" distL="0" distR="0" distT="0">
            <wp:extent cx="14605" cy="18415"/>
            <wp:effectExtent b="0" l="0" r="0" t="0"/>
            <wp:docPr descr="" id="9"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descr="" id="9" name="Picture"/>
                    <pic:cNvPicPr>
                      <a:picLocks noChangeArrowheads="1" noChangeAspect="1"/>
                    </pic:cNvPicPr>
                  </pic:nvPicPr>
                  <pic:blipFill>
                    <a:blip r:embed="rId15"/>
                    <a:srcRect/>
                    <a:stretch>
                      <a:fillRect/>
                    </a:stretch>
                  </pic:blipFill>
                  <pic:spPr bwMode="auto">
                    <a:xfrm>
                      <a:off x="0" y="0"/>
                      <a:ext cx="14605" cy="18415"/>
                    </a:xfrm>
                    <a:prstGeom prst="rect">
                      <a:avLst/>
                    </a:prstGeom>
                    <a:noFill/>
                    <a:ln w="9525">
                      <a:noFill/>
                      <a:miter lim="800000"/>
                      <a:headEnd/>
                      <a:tailEnd/>
                    </a:ln>
                  </pic:spPr>
                </pic:pic>
              </a:graphicData>
            </a:graphic>
          </wp:inline>
        </w:drawing>
      </w:r>
      <w:r>
        <w:rPr>
          <w:sz w:val="24"/>
          <w:szCs w:val="24"/>
        </w:rPr>
        <w:t>„</w:t>
      </w:r>
      <w:r>
        <w:rPr>
          <w:sz w:val="24"/>
          <w:szCs w:val="24"/>
        </w:rPr>
        <w:t>Oferta — Nadzór inwestorski dla zadania .  „Rozbudowa budynku Domu Pomocy Społecznej w Miechowie i stworzenie "Strefy Aktywizacji i Rehabilitacji dla Mężczyzn Niepełnosprawnych Intelektualnie"</w:t>
      </w:r>
    </w:p>
    <w:p>
      <w:pPr>
        <w:pStyle w:val="style0"/>
        <w:spacing w:after="0" w:before="0" w:line="300" w:lineRule="auto"/>
        <w:ind w:hanging="5" w:left="5" w:right="26"/>
        <w:contextualSpacing/>
      </w:pPr>
      <w:r>
        <w:rPr>
          <w:sz w:val="24"/>
          <w:szCs w:val="24"/>
        </w:rPr>
        <w:t>3. Otwarcie ofert nastąpi przez Zamawiającego w dniu 0</w:t>
      </w:r>
      <w:r>
        <w:rPr>
          <w:sz w:val="24"/>
          <w:szCs w:val="24"/>
        </w:rPr>
        <w:t>8</w:t>
      </w:r>
      <w:r>
        <w:rPr>
          <w:sz w:val="24"/>
          <w:szCs w:val="24"/>
        </w:rPr>
        <w:t xml:space="preserve">.02.2019 r. o godz. </w:t>
      </w:r>
      <w:bookmarkStart w:id="1" w:name="_GoBack"/>
      <w:bookmarkEnd w:id="1"/>
      <w:r>
        <w:rPr>
          <w:sz w:val="24"/>
          <w:szCs w:val="24"/>
        </w:rPr>
        <w:t>9:30.</w:t>
      </w:r>
    </w:p>
    <w:p>
      <w:pPr>
        <w:pStyle w:val="style0"/>
        <w:spacing w:after="0" w:before="0" w:line="300" w:lineRule="auto"/>
        <w:ind w:hanging="5" w:left="5" w:right="26"/>
        <w:contextualSpacing/>
      </w:pPr>
      <w:r>
        <w:rPr>
          <w:sz w:val="24"/>
          <w:szCs w:val="24"/>
        </w:rPr>
        <w:t>4. Inspektor może złożyć tylko jedną ofertę. Złożenie przez jednego Inspektora więcej niż jednej oferty lub oferty zawierającej rozwiązania alternatywne spowoduje ich odrzucenie.</w:t>
      </w:r>
    </w:p>
    <w:p>
      <w:pPr>
        <w:pStyle w:val="style0"/>
        <w:spacing w:after="0" w:before="0" w:line="300" w:lineRule="auto"/>
        <w:ind w:hanging="5" w:left="5" w:right="26"/>
        <w:contextualSpacing/>
      </w:pPr>
      <w:r>
        <w:rPr/>
      </w:r>
    </w:p>
    <w:p>
      <w:pPr>
        <w:pStyle w:val="style0"/>
        <w:numPr>
          <w:ilvl w:val="0"/>
          <w:numId w:val="4"/>
        </w:numPr>
        <w:spacing w:after="0" w:before="0" w:line="300" w:lineRule="auto"/>
        <w:contextualSpacing/>
      </w:pPr>
      <w:r>
        <w:rPr>
          <w:sz w:val="24"/>
          <w:szCs w:val="24"/>
        </w:rPr>
        <w:t>Informacja na temat zakresu wykluczenia.</w:t>
      </w:r>
    </w:p>
    <w:p>
      <w:pPr>
        <w:pStyle w:val="style0"/>
        <w:spacing w:after="0" w:before="0" w:line="300" w:lineRule="auto"/>
        <w:ind w:hanging="5" w:left="10" w:right="26"/>
        <w:contextualSpacing/>
      </w:pPr>
      <w:r>
        <w:rPr>
          <w:sz w:val="24"/>
          <w:szCs w:val="24"/>
        </w:rPr>
        <w:t>l. Zamawiający, wykluczy z postępowania o udzielenie zamówienia:</w:t>
      </w:r>
    </w:p>
    <w:p>
      <w:pPr>
        <w:pStyle w:val="style0"/>
        <w:numPr>
          <w:ilvl w:val="1"/>
          <w:numId w:val="4"/>
        </w:numPr>
        <w:spacing w:after="0" w:before="0" w:line="300" w:lineRule="auto"/>
        <w:ind w:hanging="5" w:left="5" w:right="26"/>
        <w:contextualSpacing/>
      </w:pPr>
      <w:r>
        <w:rPr>
          <w:sz w:val="24"/>
          <w:szCs w:val="24"/>
        </w:rPr>
        <w:t>Inspektora, który w sposób zawiniony poważnie naruszył obowiązki zawodowe, co podważa jego uczciwość, w szczególności gdy wykonawca w wyniku zamierzonego działania lub rażącego niedbalstwa nie wykonał lub nienależycie wykonał zamówienie, co zamawiający jest w stanie wykazać za pomocą stosownych środków dowodowych, jeżeli nie upłynęły 3 lata od dnia zaistnienia zdarzenia będącego podstawą wykluczenia,</w:t>
      </w:r>
      <w:r>
        <w:rPr/>
        <w:drawing>
          <wp:inline distB="0" distL="0" distR="0" distT="0">
            <wp:extent cx="14605" cy="14605"/>
            <wp:effectExtent b="0" l="0" r="0" t="0"/>
            <wp:docPr descr="" id="10"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descr="" id="10" name="Picture"/>
                    <pic:cNvPicPr>
                      <a:picLocks noChangeArrowheads="1" noChangeAspect="1"/>
                    </pic:cNvPicPr>
                  </pic:nvPicPr>
                  <pic:blipFill>
                    <a:blip r:embed="rId16"/>
                    <a:srcRect/>
                    <a:stretch>
                      <a:fillRect/>
                    </a:stretch>
                  </pic:blipFill>
                  <pic:spPr bwMode="auto">
                    <a:xfrm>
                      <a:off x="0" y="0"/>
                      <a:ext cx="14605" cy="14605"/>
                    </a:xfrm>
                    <a:prstGeom prst="rect">
                      <a:avLst/>
                    </a:prstGeom>
                    <a:noFill/>
                    <a:ln w="9525">
                      <a:noFill/>
                      <a:miter lim="800000"/>
                      <a:headEnd/>
                      <a:tailEnd/>
                    </a:ln>
                  </pic:spPr>
                </pic:pic>
              </a:graphicData>
            </a:graphic>
          </wp:inline>
        </w:drawing>
      </w:r>
    </w:p>
    <w:p>
      <w:pPr>
        <w:pStyle w:val="style0"/>
        <w:numPr>
          <w:ilvl w:val="1"/>
          <w:numId w:val="4"/>
        </w:numPr>
        <w:spacing w:after="0" w:before="0" w:line="300" w:lineRule="auto"/>
        <w:ind w:hanging="5" w:left="5" w:right="26"/>
        <w:contextualSpacing/>
      </w:pPr>
      <w:r>
        <w:rPr>
          <w:sz w:val="24"/>
          <w:szCs w:val="24"/>
        </w:rPr>
        <w:t>Inspektora, który złożył nieprawdziwe informacje mające wpływ na wynik prowadzonego Zapytania Ofertowego,</w:t>
      </w:r>
    </w:p>
    <w:p>
      <w:pPr>
        <w:pStyle w:val="style0"/>
        <w:numPr>
          <w:ilvl w:val="1"/>
          <w:numId w:val="4"/>
        </w:numPr>
        <w:spacing w:after="0" w:before="0" w:line="300" w:lineRule="auto"/>
        <w:ind w:hanging="5" w:left="5" w:right="26"/>
        <w:contextualSpacing/>
      </w:pPr>
      <w:r>
        <w:rPr>
          <w:sz w:val="24"/>
          <w:szCs w:val="24"/>
        </w:rPr>
        <w:t>Inspektora powiązanego osobowo lub kapitałowo z Zamawiającym. Przez powiązania kapitałowe lub osobowe rozumie się wzajemne powiązania między beneficjentem lub osobami upoważnionymi do zaciągania zobowiązań w imieniu beneficjenta lub osobami dokonującymi w imieniu beneficjenta czynności związane z przygotowaniem                          i przeprowadzeniem procedury wyboru wykonawcy, a wykonawcą, polegające                       w szczególności na: uczestniczeniu w spółce jako wspólnik spółki cywilnej lub spółki osobowej, posiadaniu co najmniej 10% udziałów lub akcji, pełnieniu funkcji członka organu nadzorczego lub zarządzającego, prokurenta, pełnomocnika, pozostawania w związku małżeńskim, w stosunku pokrewieństwa lub powinowactwa w linii prostej, pozostawaniu          z wykonawcą w takim stosunku prawnym lub faktycznym, że może to budzić uzasadnione wątpliwości do bezstronności tych osób.</w:t>
      </w:r>
    </w:p>
    <w:p>
      <w:pPr>
        <w:pStyle w:val="style0"/>
        <w:spacing w:after="0" w:before="0" w:line="300" w:lineRule="auto"/>
        <w:ind w:hanging="5" w:left="5" w:right="26"/>
        <w:contextualSpacing/>
      </w:pPr>
      <w:r>
        <w:rPr>
          <w:sz w:val="24"/>
          <w:szCs w:val="24"/>
        </w:rPr>
        <w:t>2. Ofertę Inspektora wykluczonego uznaje się za odrzuconą.</w:t>
      </w:r>
    </w:p>
    <w:p>
      <w:pPr>
        <w:pStyle w:val="style0"/>
        <w:spacing w:after="0" w:before="0" w:line="300" w:lineRule="auto"/>
        <w:ind w:hanging="5" w:left="5" w:right="26"/>
        <w:contextualSpacing/>
      </w:pPr>
      <w:r>
        <w:rPr>
          <w:sz w:val="24"/>
          <w:szCs w:val="24"/>
        </w:rPr>
        <w:t>3. Zamawiający może wykluczyć Inspektora na każdym etapie postępowania o udzielenie zamówienia.</w:t>
      </w:r>
    </w:p>
    <w:p>
      <w:pPr>
        <w:pStyle w:val="style0"/>
        <w:spacing w:after="0" w:before="0" w:line="300" w:lineRule="auto"/>
        <w:ind w:hanging="5" w:left="5" w:right="26"/>
        <w:contextualSpacing/>
      </w:pPr>
      <w:r>
        <w:rPr/>
      </w:r>
    </w:p>
    <w:p>
      <w:pPr>
        <w:pStyle w:val="style0"/>
        <w:numPr>
          <w:ilvl w:val="0"/>
          <w:numId w:val="4"/>
        </w:numPr>
        <w:spacing w:after="0" w:before="0" w:line="300" w:lineRule="auto"/>
        <w:contextualSpacing/>
      </w:pPr>
      <w:r>
        <w:rPr>
          <w:sz w:val="24"/>
          <w:szCs w:val="24"/>
        </w:rPr>
        <w:t>Składanie ofert częściowych: nie dotyczy</w:t>
      </w:r>
    </w:p>
    <w:p>
      <w:pPr>
        <w:pStyle w:val="style0"/>
        <w:spacing w:after="0" w:before="0" w:line="300" w:lineRule="auto"/>
        <w:ind w:hanging="0" w:left="725" w:right="0"/>
        <w:contextualSpacing/>
      </w:pPr>
      <w:r>
        <w:rPr/>
      </w:r>
    </w:p>
    <w:p>
      <w:pPr>
        <w:pStyle w:val="style0"/>
        <w:numPr>
          <w:ilvl w:val="0"/>
          <w:numId w:val="4"/>
        </w:numPr>
        <w:spacing w:after="0" w:before="0" w:line="300" w:lineRule="auto"/>
        <w:contextualSpacing/>
      </w:pPr>
      <w:r>
        <w:rPr>
          <w:sz w:val="24"/>
          <w:szCs w:val="24"/>
        </w:rPr>
        <w:t>Informacja o zamówieniach uzupełniających: nie przewidziano</w:t>
      </w:r>
    </w:p>
    <w:p>
      <w:pPr>
        <w:pStyle w:val="style0"/>
        <w:spacing w:after="0" w:before="0" w:line="300" w:lineRule="auto"/>
        <w:ind w:hanging="0" w:left="0" w:right="0"/>
        <w:contextualSpacing/>
      </w:pPr>
      <w:r>
        <w:rPr/>
      </w:r>
    </w:p>
    <w:p>
      <w:pPr>
        <w:pStyle w:val="style0"/>
        <w:numPr>
          <w:ilvl w:val="0"/>
          <w:numId w:val="4"/>
        </w:numPr>
        <w:spacing w:after="0" w:before="0" w:line="300" w:lineRule="auto"/>
        <w:contextualSpacing/>
      </w:pPr>
      <w:r>
        <w:rPr>
          <w:sz w:val="24"/>
          <w:szCs w:val="24"/>
        </w:rPr>
        <w:t>Informacje o sposobie porozumiewania się.</w:t>
      </w:r>
      <w:r>
        <w:rPr/>
        <w:drawing>
          <wp:inline distB="0" distL="0" distR="0" distT="0">
            <wp:extent cx="14605" cy="14605"/>
            <wp:effectExtent b="0" l="0" r="0" t="0"/>
            <wp:docPr descr="" id="11"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descr="" id="11" name="Picture"/>
                    <pic:cNvPicPr>
                      <a:picLocks noChangeArrowheads="1" noChangeAspect="1"/>
                    </pic:cNvPicPr>
                  </pic:nvPicPr>
                  <pic:blipFill>
                    <a:blip r:embed="rId17"/>
                    <a:srcRect/>
                    <a:stretch>
                      <a:fillRect/>
                    </a:stretch>
                  </pic:blipFill>
                  <pic:spPr bwMode="auto">
                    <a:xfrm>
                      <a:off x="0" y="0"/>
                      <a:ext cx="14605" cy="14605"/>
                    </a:xfrm>
                    <a:prstGeom prst="rect">
                      <a:avLst/>
                    </a:prstGeom>
                    <a:noFill/>
                    <a:ln w="9525">
                      <a:noFill/>
                      <a:miter lim="800000"/>
                      <a:headEnd/>
                      <a:tailEnd/>
                    </a:ln>
                  </pic:spPr>
                </pic:pic>
              </a:graphicData>
            </a:graphic>
          </wp:inline>
        </w:drawing>
      </w:r>
    </w:p>
    <w:p>
      <w:pPr>
        <w:pStyle w:val="style34"/>
        <w:numPr>
          <w:ilvl w:val="0"/>
          <w:numId w:val="6"/>
        </w:numPr>
        <w:spacing w:after="0" w:before="0" w:line="300" w:lineRule="auto"/>
        <w:ind w:hanging="5" w:left="720" w:right="26"/>
        <w:contextualSpacing/>
      </w:pPr>
      <w:r>
        <w:rPr>
          <w:sz w:val="24"/>
          <w:szCs w:val="24"/>
        </w:rPr>
        <w:t>Osoba upoważniona do kontaktu: Małgorzata Wachacka</w:t>
      </w:r>
    </w:p>
    <w:p>
      <w:pPr>
        <w:pStyle w:val="style34"/>
        <w:numPr>
          <w:ilvl w:val="0"/>
          <w:numId w:val="6"/>
        </w:numPr>
        <w:spacing w:after="0" w:before="0" w:line="300" w:lineRule="auto"/>
        <w:ind w:hanging="5" w:left="720" w:right="26"/>
        <w:contextualSpacing/>
      </w:pPr>
      <w:r>
        <w:rPr>
          <w:sz w:val="24"/>
          <w:szCs w:val="24"/>
        </w:rPr>
        <w:t xml:space="preserve">Porozumiewanie się pomiędzy Zamawiającym a Inspektorem w całym procesie zapytania oprócz składania ofert (sposób wskazany w pkt VI) może odbywać się za pośrednictwem faksu nr (41) 383-14-90 lub drogą elektroniczną na adres          e-mail: </w:t>
      </w:r>
      <w:hyperlink r:id="rId18">
        <w:r>
          <w:rPr>
            <w:rStyle w:val="style19"/>
            <w:rStyle w:val="style19"/>
            <w:sz w:val="24"/>
            <w:szCs w:val="24"/>
          </w:rPr>
          <w:t>dps.miechow@interia.pl</w:t>
        </w:r>
      </w:hyperlink>
      <w:r>
        <w:rPr>
          <w:sz w:val="24"/>
          <w:szCs w:val="24"/>
        </w:rPr>
        <w:t xml:space="preserve">  lub pisemnie na adres Zamawiającego.</w:t>
      </w:r>
    </w:p>
    <w:p>
      <w:pPr>
        <w:pStyle w:val="style0"/>
        <w:numPr>
          <w:ilvl w:val="0"/>
          <w:numId w:val="6"/>
        </w:numPr>
        <w:spacing w:after="0" w:before="0" w:line="300" w:lineRule="auto"/>
        <w:contextualSpacing/>
      </w:pPr>
      <w:r>
        <w:rPr>
          <w:sz w:val="24"/>
          <w:szCs w:val="24"/>
        </w:rPr>
        <w:t>Oferta musi zawierać:</w:t>
      </w:r>
    </w:p>
    <w:p>
      <w:pPr>
        <w:pStyle w:val="style0"/>
        <w:spacing w:after="0" w:before="0" w:line="300" w:lineRule="auto"/>
        <w:ind w:hanging="5" w:left="725" w:right="26"/>
        <w:contextualSpacing/>
      </w:pPr>
      <w:r>
        <w:rPr>
          <w:sz w:val="24"/>
          <w:szCs w:val="24"/>
        </w:rPr>
        <w:t>1. Wypełniony Formularz ofertowy - zgodnie z załącznikiem nr 1,</w:t>
      </w:r>
    </w:p>
    <w:p>
      <w:pPr>
        <w:pStyle w:val="style34"/>
        <w:numPr>
          <w:ilvl w:val="0"/>
          <w:numId w:val="7"/>
        </w:numPr>
        <w:spacing w:after="0" w:before="0" w:line="300" w:lineRule="auto"/>
        <w:ind w:hanging="5" w:left="720" w:right="26"/>
        <w:contextualSpacing/>
      </w:pPr>
      <w:r>
        <w:rPr>
          <w:sz w:val="24"/>
          <w:szCs w:val="24"/>
        </w:rPr>
        <w:t>2. Wypełnione Oświadczenie – załącznik nr 2,</w:t>
      </w:r>
    </w:p>
    <w:p>
      <w:pPr>
        <w:pStyle w:val="style34"/>
        <w:numPr>
          <w:ilvl w:val="0"/>
          <w:numId w:val="7"/>
        </w:numPr>
        <w:spacing w:after="0" w:before="0" w:line="300" w:lineRule="auto"/>
        <w:ind w:hanging="5" w:left="720" w:right="26"/>
        <w:contextualSpacing/>
      </w:pPr>
      <w:r>
        <w:rPr>
          <w:sz w:val="24"/>
          <w:szCs w:val="24"/>
        </w:rPr>
        <w:t>3. Wykaz usług – załącznik nr 3 oraz dowody określające czy te usługi zostały wykonane należycie,  przy czym dowodami, o których mowa, są referencje bądź inne dokumenty wystawione przez podmiot, na rzecz którego usługi były wykonywane,     a jeżeli z uzasadnionej przyczyny o obiektywnym charakterze wykonawca nie jest     w stanie uzyskać tych dokumentów – oświadczenie wykonawcy,</w:t>
      </w:r>
    </w:p>
    <w:p>
      <w:pPr>
        <w:pStyle w:val="style34"/>
        <w:numPr>
          <w:ilvl w:val="0"/>
          <w:numId w:val="7"/>
        </w:numPr>
        <w:spacing w:after="0" w:before="0" w:line="300" w:lineRule="auto"/>
        <w:ind w:hanging="5" w:left="720" w:right="26"/>
        <w:contextualSpacing/>
      </w:pPr>
      <w:r>
        <w:rPr>
          <w:sz w:val="24"/>
          <w:szCs w:val="24"/>
        </w:rPr>
        <w:t xml:space="preserve">4. Parafowany przez Wykonawcę projekt umowy – załącznik nr 4. </w:t>
      </w:r>
    </w:p>
    <w:p>
      <w:pPr>
        <w:pStyle w:val="style34"/>
        <w:numPr>
          <w:ilvl w:val="0"/>
          <w:numId w:val="7"/>
        </w:numPr>
        <w:spacing w:after="0" w:before="0" w:line="300" w:lineRule="auto"/>
        <w:ind w:hanging="5" w:left="720" w:right="26"/>
        <w:contextualSpacing/>
      </w:pPr>
      <w:r>
        <w:rPr/>
      </w:r>
    </w:p>
    <w:p>
      <w:pPr>
        <w:pStyle w:val="style0"/>
        <w:spacing w:after="0" w:before="0" w:line="300" w:lineRule="auto"/>
        <w:ind w:hanging="0" w:left="0" w:right="26"/>
        <w:contextualSpacing/>
      </w:pPr>
      <w:r>
        <w:rPr>
          <w:sz w:val="24"/>
          <w:szCs w:val="24"/>
        </w:rPr>
        <w:t>Zamawiający dokona oceny spełnienia wymaganych warunków na podstawie przedstawionych dokumentów i oświadczeń „spełnia / nie spełnia”.</w:t>
      </w:r>
    </w:p>
    <w:p>
      <w:pPr>
        <w:pStyle w:val="style0"/>
        <w:spacing w:after="0" w:before="0" w:line="300" w:lineRule="auto"/>
        <w:ind w:hanging="5" w:left="5" w:right="26"/>
        <w:contextualSpacing/>
      </w:pPr>
      <w:r>
        <w:rPr>
          <w:sz w:val="24"/>
          <w:szCs w:val="24"/>
        </w:rPr>
        <w:t>Zamawiający wezwie do uzupełnienia oświadczeń i dokumentów nie złożonych w ofercie. Inspektor zobowiązany jest uzupełnić w terminie wskazanym w wezwaniu brakujących dokumentów. Nieuzupełnienie wymaganych dokumentów w terminie wskazanym                 w wezwaniu spowoduje odrzucenie oferty.</w:t>
      </w:r>
      <w:r>
        <w:rPr/>
        <w:drawing>
          <wp:inline distB="0" distL="0" distR="0" distT="0">
            <wp:extent cx="14605" cy="14605"/>
            <wp:effectExtent b="0" l="0" r="0" t="0"/>
            <wp:docPr descr="" id="12"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descr="" id="12" name="Picture"/>
                    <pic:cNvPicPr>
                      <a:picLocks noChangeArrowheads="1" noChangeAspect="1"/>
                    </pic:cNvPicPr>
                  </pic:nvPicPr>
                  <pic:blipFill>
                    <a:blip r:embed="rId19"/>
                    <a:srcRect/>
                    <a:stretch>
                      <a:fillRect/>
                    </a:stretch>
                  </pic:blipFill>
                  <pic:spPr bwMode="auto">
                    <a:xfrm>
                      <a:off x="0" y="0"/>
                      <a:ext cx="14605" cy="14605"/>
                    </a:xfrm>
                    <a:prstGeom prst="rect">
                      <a:avLst/>
                    </a:prstGeom>
                    <a:noFill/>
                    <a:ln w="9525">
                      <a:noFill/>
                      <a:miter lim="800000"/>
                      <a:headEnd/>
                      <a:tailEnd/>
                    </a:ln>
                  </pic:spPr>
                </pic:pic>
              </a:graphicData>
            </a:graphic>
          </wp:inline>
        </w:drawing>
      </w:r>
    </w:p>
    <w:p>
      <w:pPr>
        <w:pStyle w:val="style0"/>
        <w:spacing w:after="0" w:before="0" w:line="300" w:lineRule="auto"/>
        <w:ind w:hanging="5" w:left="5" w:right="26"/>
        <w:contextualSpacing/>
      </w:pPr>
      <w:r>
        <w:rPr>
          <w:sz w:val="24"/>
          <w:szCs w:val="24"/>
        </w:rPr>
        <w:t>Jednocześnie informujemy, że do postępowania nie mają zastosowania przepisy ustawy Prawo zamówień publicznych.</w:t>
      </w:r>
    </w:p>
    <w:p>
      <w:pPr>
        <w:pStyle w:val="style0"/>
        <w:spacing w:after="0" w:before="0" w:line="300" w:lineRule="auto"/>
        <w:ind w:hanging="5" w:left="5" w:right="26"/>
        <w:contextualSpacing/>
      </w:pPr>
      <w:r>
        <w:rPr/>
      </w:r>
    </w:p>
    <w:p>
      <w:pPr>
        <w:pStyle w:val="style0"/>
        <w:spacing w:after="0" w:before="0" w:line="300" w:lineRule="auto"/>
        <w:ind w:hanging="5" w:left="5" w:right="26"/>
        <w:contextualSpacing/>
      </w:pPr>
      <w:r>
        <w:rPr/>
      </w:r>
    </w:p>
    <w:p>
      <w:pPr>
        <w:pStyle w:val="style0"/>
        <w:spacing w:after="0" w:before="0" w:line="300" w:lineRule="auto"/>
        <w:ind w:hanging="5" w:left="5" w:right="26"/>
        <w:contextualSpacing/>
      </w:pPr>
      <w:r>
        <w:rPr/>
      </w:r>
    </w:p>
    <w:p>
      <w:pPr>
        <w:pStyle w:val="style0"/>
        <w:spacing w:after="0" w:before="0" w:line="300" w:lineRule="auto"/>
        <w:ind w:hanging="5" w:left="5" w:right="26"/>
        <w:contextualSpacing/>
      </w:pPr>
      <w:r>
        <w:rPr/>
      </w:r>
    </w:p>
    <w:p>
      <w:pPr>
        <w:pStyle w:val="style0"/>
        <w:spacing w:after="0" w:before="0" w:line="300" w:lineRule="auto"/>
        <w:ind w:hanging="5" w:left="5" w:right="26"/>
        <w:contextualSpacing/>
      </w:pPr>
      <w:r>
        <w:rPr/>
      </w:r>
    </w:p>
    <w:p>
      <w:pPr>
        <w:pStyle w:val="style0"/>
        <w:spacing w:after="0" w:before="0" w:line="300" w:lineRule="auto"/>
        <w:ind w:hanging="5" w:left="5" w:right="26"/>
        <w:contextualSpacing/>
      </w:pPr>
      <w:r>
        <w:rPr/>
      </w:r>
    </w:p>
    <w:p>
      <w:pPr>
        <w:pStyle w:val="style0"/>
        <w:spacing w:after="0" w:before="0" w:line="300" w:lineRule="auto"/>
        <w:ind w:hanging="5" w:left="5" w:right="26"/>
        <w:contextualSpacing/>
      </w:pPr>
      <w:r>
        <w:rPr/>
      </w:r>
    </w:p>
    <w:p>
      <w:pPr>
        <w:pStyle w:val="style0"/>
        <w:spacing w:after="0" w:before="0" w:line="300" w:lineRule="auto"/>
        <w:ind w:hanging="0" w:left="5358" w:right="0"/>
        <w:contextualSpacing/>
      </w:pPr>
      <w:r>
        <w:rPr/>
      </w:r>
    </w:p>
    <w:p>
      <w:pPr>
        <w:pStyle w:val="style0"/>
        <w:spacing w:after="0" w:before="0" w:line="300" w:lineRule="auto"/>
        <w:ind w:hanging="10" w:left="341" w:right="10"/>
        <w:contextualSpacing/>
      </w:pPr>
      <w:r>
        <w:rPr/>
        <w:drawing>
          <wp:inline distB="0" distL="0" distR="0" distT="0">
            <wp:extent cx="14605" cy="14605"/>
            <wp:effectExtent b="0" l="0" r="0" t="0"/>
            <wp:docPr descr="" id="13"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descr="" id="13" name="Picture"/>
                    <pic:cNvPicPr>
                      <a:picLocks noChangeArrowheads="1" noChangeAspect="1"/>
                    </pic:cNvPicPr>
                  </pic:nvPicPr>
                  <pic:blipFill>
                    <a:blip r:embed="rId20"/>
                    <a:srcRect/>
                    <a:stretch>
                      <a:fillRect/>
                    </a:stretch>
                  </pic:blipFill>
                  <pic:spPr bwMode="auto">
                    <a:xfrm>
                      <a:off x="0" y="0"/>
                      <a:ext cx="14605" cy="14605"/>
                    </a:xfrm>
                    <a:prstGeom prst="rect">
                      <a:avLst/>
                    </a:prstGeom>
                    <a:noFill/>
                    <a:ln w="9525">
                      <a:noFill/>
                      <a:miter lim="800000"/>
                      <a:headEnd/>
                      <a:tailEnd/>
                    </a:ln>
                  </pic:spPr>
                </pic:pic>
              </a:graphicData>
            </a:graphic>
          </wp:inline>
        </w:drawing>
      </w:r>
      <w:r>
        <w:rPr>
          <w:sz w:val="24"/>
          <w:szCs w:val="24"/>
          <w:u w:val="single"/>
        </w:rPr>
        <w:t>Załączniki:</w:t>
      </w:r>
    </w:p>
    <w:p>
      <w:pPr>
        <w:pStyle w:val="style0"/>
        <w:spacing w:after="0" w:before="0" w:line="300" w:lineRule="auto"/>
        <w:ind w:hanging="5" w:left="774" w:right="26"/>
        <w:contextualSpacing/>
      </w:pPr>
      <w:r>
        <w:rPr>
          <w:sz w:val="24"/>
          <w:szCs w:val="24"/>
        </w:rPr>
        <w:t>1. Formularz ofertowy.</w:t>
      </w:r>
    </w:p>
    <w:p>
      <w:pPr>
        <w:pStyle w:val="style0"/>
        <w:spacing w:after="0" w:before="0" w:line="300" w:lineRule="auto"/>
        <w:ind w:hanging="5" w:left="754" w:right="26"/>
        <w:contextualSpacing/>
      </w:pPr>
      <w:r>
        <w:rPr>
          <w:sz w:val="24"/>
          <w:szCs w:val="24"/>
        </w:rPr>
        <w:t xml:space="preserve">2. Oświadczenie Inspektora. </w:t>
      </w:r>
    </w:p>
    <w:p>
      <w:pPr>
        <w:pStyle w:val="style0"/>
        <w:spacing w:after="0" w:before="0" w:line="300" w:lineRule="auto"/>
        <w:ind w:hanging="5" w:left="754" w:right="26"/>
        <w:contextualSpacing/>
      </w:pPr>
      <w:r>
        <w:rPr>
          <w:sz w:val="24"/>
          <w:szCs w:val="24"/>
        </w:rPr>
        <w:t>3. Wykaz usług,</w:t>
      </w:r>
    </w:p>
    <w:p>
      <w:pPr>
        <w:pStyle w:val="style0"/>
        <w:spacing w:after="0" w:before="0" w:line="300" w:lineRule="auto"/>
        <w:ind w:hanging="5" w:left="754" w:right="26"/>
        <w:contextualSpacing/>
      </w:pPr>
      <w:r>
        <w:rPr>
          <w:sz w:val="24"/>
          <w:szCs w:val="24"/>
        </w:rPr>
        <w:t>4. Wzór umowy.</w:t>
      </w:r>
    </w:p>
    <w:p>
      <w:pPr>
        <w:pStyle w:val="style0"/>
        <w:spacing w:after="0" w:before="0" w:line="300" w:lineRule="auto"/>
        <w:ind w:hanging="0" w:left="0" w:right="10462"/>
        <w:contextualSpacing/>
      </w:pPr>
      <w:r>
        <w:rPr/>
      </w:r>
    </w:p>
    <w:sectPr>
      <w:headerReference r:id="rId21" w:type="default"/>
      <w:footerReference r:id="rId22" w:type="default"/>
      <w:type w:val="nextPage"/>
      <w:pgSz w:h="16838" w:w="11906"/>
      <w:pgMar w:bottom="1440" w:footer="708" w:gutter="0" w:header="1440" w:left="1440" w:right="1440" w:top="1999"/>
      <w:pgNumType w:fmt="decimal"/>
      <w:formProt w:val="false"/>
      <w:textDirection w:val="lrTb"/>
      <w:docGrid w:charSpace="0" w:linePitch="240" w:type="default"/>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Times New Roman">
    <w:charset w:val="ee"/>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w:p>
    <w:pPr>
      <w:pStyle w:val="style0"/>
      <w:spacing w:after="160" w:before="0" w:line="252" w:lineRule="auto"/>
      <w:ind w:hanging="0" w:left="0" w:right="0"/>
      <w:contextualSpacing w:val="false"/>
      <w:jc w:val="left"/>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w:p>
    <w:pPr>
      <w:pStyle w:val="style0"/>
      <w:spacing w:after="160" w:before="0" w:line="252" w:lineRule="auto"/>
      <w:ind w:hanging="0" w:left="0" w:right="0"/>
      <w:contextualSpacing w:val="false"/>
      <w:jc w:val="left"/>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w:p>
    <w:pPr>
      <w:pStyle w:val="style37"/>
      <w:suppressLineNumbers/>
      <w:tabs>
        <w:tab w:leader="none" w:pos="4674" w:val="center"/>
        <w:tab w:leader="none" w:pos="9334" w:val="right"/>
      </w:tabs>
      <w:spacing w:after="5" w:before="0"/>
      <w:contextualSpacing w:val="false"/>
    </w:pPr>
    <w:r>
      <w:rPr/>
      <w:drawing>
        <wp:anchor allowOverlap="1" behindDoc="0" distB="0" distL="0" distR="0" distT="0" layoutInCell="1" locked="0" relativeHeight="13" simplePos="0">
          <wp:simplePos x="0" y="0"/>
          <wp:positionH relativeFrom="column">
            <wp:posOffset>0</wp:posOffset>
          </wp:positionH>
          <wp:positionV relativeFrom="paragraph">
            <wp:posOffset>0</wp:posOffset>
          </wp:positionV>
          <wp:extent cx="5917565" cy="500380"/>
          <wp:effectExtent b="0" l="0" r="0" t="0"/>
          <wp:wrapSquare wrapText="largest"/>
          <wp:docPr descr="" id="2"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descr="" id="2" name="Picture"/>
                  <pic:cNvPicPr>
                    <a:picLocks noChangeArrowheads="1" noChangeAspect="1"/>
                  </pic:cNvPicPr>
                </pic:nvPicPr>
                <pic:blipFill>
                  <a:blip r:embed="rId1"/>
                  <a:srcRect/>
                  <a:stretch>
                    <a:fillRect/>
                  </a:stretch>
                </pic:blipFill>
                <pic:spPr bwMode="auto">
                  <a:xfrm>
                    <a:off x="0" y="0"/>
                    <a:ext cx="5917565" cy="500380"/>
                  </a:xfrm>
                  <a:prstGeom prst="rect">
                    <a:avLst/>
                  </a:prstGeom>
                  <a:noFill/>
                  <a:ln w="9525">
                    <a:noFill/>
                    <a:miter lim="800000"/>
                    <a:headEnd/>
                    <a:tailEnd/>
                  </a:ln>
                </pic:spPr>
              </pic:pic>
            </a:graphicData>
          </a:graphic>
        </wp:anchor>
      </w:drawing>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w:p>
    <w:pPr>
      <w:pStyle w:val="style37"/>
      <w:suppressLineNumbers/>
      <w:tabs>
        <w:tab w:leader="none" w:pos="4674" w:val="center"/>
        <w:tab w:leader="none" w:pos="9334" w:val="right"/>
      </w:tabs>
      <w:spacing w:after="5" w:before="0"/>
      <w:contextualSpacing w:val="false"/>
    </w:pPr>
    <w:r>
      <w:rPr/>
      <w:drawing>
        <wp:anchor allowOverlap="1" behindDoc="0" distB="0" distL="0" distR="0" distT="0" layoutInCell="1" locked="0" relativeHeight="22" simplePos="0">
          <wp:simplePos x="0" y="0"/>
          <wp:positionH relativeFrom="character">
            <wp:posOffset>0</wp:posOffset>
          </wp:positionH>
          <wp:positionV relativeFrom="line">
            <wp:posOffset>0</wp:posOffset>
          </wp:positionV>
          <wp:extent cx="5731510" cy="484505"/>
          <wp:effectExtent b="0" l="0" r="0" t="0"/>
          <wp:wrapSquare wrapText="largest"/>
          <wp:docPr descr="" id="14"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descr="" id="14" name="Picture"/>
                  <pic:cNvPicPr>
                    <a:picLocks noChangeArrowheads="1" noChangeAspect="1"/>
                  </pic:cNvPicPr>
                </pic:nvPicPr>
                <pic:blipFill>
                  <a:blip r:embed="rId1"/>
                  <a:srcRect/>
                  <a:stretch>
                    <a:fillRect/>
                  </a:stretch>
                </pic:blipFill>
                <pic:spPr bwMode="auto">
                  <a:xfrm>
                    <a:off x="0" y="0"/>
                    <a:ext cx="5731510" cy="484505"/>
                  </a:xfrm>
                  <a:prstGeom prst="rect">
                    <a:avLst/>
                  </a:prstGeom>
                  <a:noFill/>
                  <a:ln w="9525">
                    <a:noFill/>
                    <a:miter lim="800000"/>
                    <a:headEnd/>
                    <a:tailEnd/>
                  </a:ln>
                </pic:spPr>
              </pic:pic>
            </a:graphicData>
          </a:graphic>
        </wp:anchor>
      </w:drawing>
    </w:r>
  </w:p>
</w:hdr>
</file>

<file path=word/numbering.xml><?xml version="1.0" encoding="utf-8"?>
<w:numbering xmlns:w="http://schemas.openxmlformats.org/wordprocessingml/2006/main">
  <w:abstractNum w:abstractNumId="1">
    <w:lvl w:ilvl="0">
      <w:start w:val="1"/>
      <w:numFmt w:val="none"/>
      <w:suff w:val="nothing"/>
      <w:lvlText w:val=""/>
      <w:lvlJc w:val="left"/>
      <w:pPr>
        <w:tabs>
          <w:tab w:pos="432" w:val="num"/>
        </w:tabs>
        <w:ind w:hanging="432" w:left="432"/>
      </w:pPr>
    </w:lvl>
    <w:lvl w:ilvl="1">
      <w:start w:val="1"/>
      <w:numFmt w:val="none"/>
      <w:suff w:val="nothing"/>
      <w:lvlText w:val=""/>
      <w:lvlJc w:val="left"/>
      <w:pPr>
        <w:tabs>
          <w:tab w:pos="576" w:val="num"/>
        </w:tabs>
        <w:ind w:hanging="576" w:left="576"/>
      </w:pPr>
    </w:lvl>
    <w:lvl w:ilvl="2">
      <w:start w:val="1"/>
      <w:numFmt w:val="none"/>
      <w:suff w:val="nothing"/>
      <w:lvlText w:val=""/>
      <w:lvlJc w:val="left"/>
      <w:pPr>
        <w:tabs>
          <w:tab w:pos="720" w:val="num"/>
        </w:tabs>
        <w:ind w:hanging="720" w:left="720"/>
      </w:pPr>
    </w:lvl>
    <w:lvl w:ilvl="3">
      <w:start w:val="1"/>
      <w:numFmt w:val="none"/>
      <w:suff w:val="nothing"/>
      <w:lvlText w:val=""/>
      <w:lvlJc w:val="left"/>
      <w:pPr>
        <w:tabs>
          <w:tab w:pos="864" w:val="num"/>
        </w:tabs>
        <w:ind w:hanging="864" w:left="864"/>
      </w:pPr>
    </w:lvl>
    <w:lvl w:ilvl="4">
      <w:start w:val="1"/>
      <w:numFmt w:val="none"/>
      <w:suff w:val="nothing"/>
      <w:lvlText w:val=""/>
      <w:lvlJc w:val="left"/>
      <w:pPr>
        <w:tabs>
          <w:tab w:pos="1008" w:val="num"/>
        </w:tabs>
        <w:ind w:hanging="1008" w:left="1008"/>
      </w:pPr>
    </w:lvl>
    <w:lvl w:ilvl="5">
      <w:start w:val="1"/>
      <w:numFmt w:val="none"/>
      <w:suff w:val="nothing"/>
      <w:lvlText w:val=""/>
      <w:lvlJc w:val="left"/>
      <w:pPr>
        <w:tabs>
          <w:tab w:pos="1152" w:val="num"/>
        </w:tabs>
        <w:ind w:hanging="1152" w:left="1152"/>
      </w:pPr>
    </w:lvl>
    <w:lvl w:ilvl="6">
      <w:start w:val="1"/>
      <w:numFmt w:val="none"/>
      <w:suff w:val="nothing"/>
      <w:lvlText w:val=""/>
      <w:lvlJc w:val="left"/>
      <w:pPr>
        <w:tabs>
          <w:tab w:pos="1296" w:val="num"/>
        </w:tabs>
        <w:ind w:hanging="1296" w:left="1296"/>
      </w:pPr>
    </w:lvl>
    <w:lvl w:ilvl="7">
      <w:start w:val="1"/>
      <w:numFmt w:val="none"/>
      <w:suff w:val="nothing"/>
      <w:lvlText w:val=""/>
      <w:lvlJc w:val="left"/>
      <w:pPr>
        <w:tabs>
          <w:tab w:pos="1440" w:val="num"/>
        </w:tabs>
        <w:ind w:hanging="1440" w:left="1440"/>
      </w:pPr>
    </w:lvl>
    <w:lvl w:ilvl="8">
      <w:start w:val="1"/>
      <w:numFmt w:val="none"/>
      <w:suff w:val="nothing"/>
      <w:lvlText w:val=""/>
      <w:lvlJc w:val="left"/>
      <w:pPr>
        <w:tabs>
          <w:tab w:pos="1584" w:val="num"/>
        </w:tabs>
        <w:ind w:hanging="1584" w:left="1584"/>
      </w:pPr>
    </w:lvl>
  </w:abstractNum>
  <w:abstractNum w:abstractNumId="2">
    <w:lvl w:ilvl="0">
      <w:start w:val="1"/>
      <w:numFmt w:val="none"/>
      <w:suff w:val="nothing"/>
      <w:lvlText w:val=""/>
      <w:lvlJc w:val="left"/>
      <w:pPr>
        <w:ind w:hanging="432" w:left="432"/>
      </w:pPr>
    </w:lvl>
    <w:lvl w:ilvl="1">
      <w:start w:val="1"/>
      <w:numFmt w:val="none"/>
      <w:suff w:val="nothing"/>
      <w:lvlText w:val=""/>
      <w:lvlJc w:val="left"/>
      <w:pPr>
        <w:ind w:hanging="576" w:left="576"/>
      </w:pPr>
    </w:lvl>
    <w:lvl w:ilvl="2">
      <w:start w:val="1"/>
      <w:numFmt w:val="none"/>
      <w:suff w:val="nothing"/>
      <w:lvlText w:val=""/>
      <w:lvlJc w:val="left"/>
      <w:pPr>
        <w:ind w:hanging="720" w:left="720"/>
      </w:pPr>
    </w:lvl>
    <w:lvl w:ilvl="3">
      <w:start w:val="1"/>
      <w:numFmt w:val="none"/>
      <w:suff w:val="nothing"/>
      <w:lvlText w:val=""/>
      <w:lvlJc w:val="left"/>
      <w:pPr>
        <w:ind w:hanging="864" w:left="864"/>
      </w:pPr>
    </w:lvl>
    <w:lvl w:ilvl="4">
      <w:start w:val="1"/>
      <w:numFmt w:val="none"/>
      <w:suff w:val="nothing"/>
      <w:lvlText w:val=""/>
      <w:lvlJc w:val="left"/>
      <w:pPr>
        <w:ind w:hanging="1008" w:left="1008"/>
      </w:pPr>
    </w:lvl>
    <w:lvl w:ilvl="5">
      <w:start w:val="1"/>
      <w:numFmt w:val="none"/>
      <w:suff w:val="nothing"/>
      <w:lvlText w:val=""/>
      <w:lvlJc w:val="left"/>
      <w:pPr>
        <w:ind w:hanging="1152" w:left="1152"/>
      </w:pPr>
    </w:lvl>
    <w:lvl w:ilvl="6">
      <w:start w:val="1"/>
      <w:numFmt w:val="none"/>
      <w:suff w:val="nothing"/>
      <w:lvlText w:val=""/>
      <w:lvlJc w:val="left"/>
      <w:pPr>
        <w:ind w:hanging="1296" w:left="1296"/>
      </w:pPr>
    </w:lvl>
    <w:lvl w:ilvl="7">
      <w:start w:val="1"/>
      <w:numFmt w:val="none"/>
      <w:suff w:val="nothing"/>
      <w:lvlText w:val=""/>
      <w:lvlJc w:val="left"/>
      <w:pPr>
        <w:ind w:hanging="1440" w:left="1440"/>
      </w:pPr>
    </w:lvl>
    <w:lvl w:ilvl="8">
      <w:start w:val="1"/>
      <w:numFmt w:val="none"/>
      <w:suff w:val="nothing"/>
      <w:lvlText w:val=""/>
      <w:lvlJc w:val="left"/>
      <w:pPr>
        <w:ind w:hanging="1584" w:left="1584"/>
      </w:pPr>
    </w:lvl>
  </w:abstractNum>
  <w:abstractNum w:abstractNumId="3">
    <w:lvl w:ilvl="0">
      <w:start w:val="2"/>
      <w:numFmt w:val="upperRoman"/>
      <w:lvlText w:val="%1."/>
      <w:lvlJc w:val="left"/>
      <w:pPr>
        <w:ind w:hanging="720" w:left="725"/>
      </w:pPr>
      <w:rPr>
        <w:sz w:val="26"/>
      </w:rPr>
    </w:lvl>
    <w:lvl w:ilvl="1">
      <w:start w:val="1"/>
      <w:numFmt w:val="lowerLetter"/>
      <w:lvlText w:val="%2."/>
      <w:lvlJc w:val="left"/>
      <w:pPr>
        <w:ind w:hanging="360" w:left="1085"/>
      </w:pPr>
    </w:lvl>
    <w:lvl w:ilvl="2">
      <w:start w:val="1"/>
      <w:numFmt w:val="lowerRoman"/>
      <w:lvlText w:val="%3."/>
      <w:lvlJc w:val="right"/>
      <w:pPr>
        <w:ind w:hanging="180" w:left="1805"/>
      </w:pPr>
    </w:lvl>
    <w:lvl w:ilvl="3">
      <w:start w:val="1"/>
      <w:numFmt w:val="decimal"/>
      <w:lvlText w:val="%4."/>
      <w:lvlJc w:val="left"/>
      <w:pPr>
        <w:ind w:hanging="360" w:left="2525"/>
      </w:pPr>
    </w:lvl>
    <w:lvl w:ilvl="4">
      <w:start w:val="1"/>
      <w:numFmt w:val="lowerLetter"/>
      <w:lvlText w:val="%5."/>
      <w:lvlJc w:val="left"/>
      <w:pPr>
        <w:ind w:hanging="360" w:left="3245"/>
      </w:pPr>
    </w:lvl>
    <w:lvl w:ilvl="5">
      <w:start w:val="1"/>
      <w:numFmt w:val="lowerRoman"/>
      <w:lvlText w:val="%6."/>
      <w:lvlJc w:val="right"/>
      <w:pPr>
        <w:ind w:hanging="180" w:left="3965"/>
      </w:pPr>
    </w:lvl>
    <w:lvl w:ilvl="6">
      <w:start w:val="1"/>
      <w:numFmt w:val="decimal"/>
      <w:lvlText w:val="%7."/>
      <w:lvlJc w:val="left"/>
      <w:pPr>
        <w:ind w:hanging="360" w:left="4685"/>
      </w:pPr>
    </w:lvl>
    <w:lvl w:ilvl="7">
      <w:start w:val="1"/>
      <w:numFmt w:val="lowerLetter"/>
      <w:lvlText w:val="%8."/>
      <w:lvlJc w:val="left"/>
      <w:pPr>
        <w:ind w:hanging="360" w:left="5405"/>
      </w:pPr>
    </w:lvl>
    <w:lvl w:ilvl="8">
      <w:start w:val="1"/>
      <w:numFmt w:val="lowerRoman"/>
      <w:lvlText w:val="%9."/>
      <w:lvlJc w:val="right"/>
      <w:pPr>
        <w:ind w:hanging="180" w:left="6125"/>
      </w:pPr>
    </w:lvl>
  </w:abstractNum>
  <w:abstractNum w:abstractNumId="4">
    <w:lvl w:ilvl="0">
      <w:start w:val="6"/>
      <w:numFmt w:val="upperRoman"/>
      <w:lvlText w:val="%1."/>
      <w:lvlJc w:val="left"/>
      <w:pPr>
        <w:ind w:hanging="720" w:left="725"/>
      </w:pPr>
      <w:rPr>
        <w:sz w:val="26"/>
      </w:rPr>
    </w:lvl>
    <w:lvl w:ilvl="1">
      <w:start w:val="1"/>
      <w:numFmt w:val="lowerLetter"/>
      <w:lvlText w:val="%2."/>
      <w:lvlJc w:val="left"/>
      <w:pPr>
        <w:ind w:hanging="360" w:left="1085"/>
      </w:pPr>
    </w:lvl>
    <w:lvl w:ilvl="2">
      <w:start w:val="1"/>
      <w:numFmt w:val="lowerRoman"/>
      <w:lvlText w:val="%3."/>
      <w:lvlJc w:val="right"/>
      <w:pPr>
        <w:ind w:hanging="180" w:left="1805"/>
      </w:pPr>
    </w:lvl>
    <w:lvl w:ilvl="3">
      <w:start w:val="1"/>
      <w:numFmt w:val="decimal"/>
      <w:lvlText w:val="%4."/>
      <w:lvlJc w:val="left"/>
      <w:pPr>
        <w:ind w:hanging="360" w:left="2525"/>
      </w:pPr>
    </w:lvl>
    <w:lvl w:ilvl="4">
      <w:start w:val="1"/>
      <w:numFmt w:val="lowerLetter"/>
      <w:lvlText w:val="%5."/>
      <w:lvlJc w:val="left"/>
      <w:pPr>
        <w:ind w:hanging="360" w:left="3245"/>
      </w:pPr>
    </w:lvl>
    <w:lvl w:ilvl="5">
      <w:start w:val="1"/>
      <w:numFmt w:val="lowerRoman"/>
      <w:lvlText w:val="%6."/>
      <w:lvlJc w:val="right"/>
      <w:pPr>
        <w:ind w:hanging="180" w:left="3965"/>
      </w:pPr>
    </w:lvl>
    <w:lvl w:ilvl="6">
      <w:start w:val="1"/>
      <w:numFmt w:val="decimal"/>
      <w:lvlText w:val="%7."/>
      <w:lvlJc w:val="left"/>
      <w:pPr>
        <w:ind w:hanging="360" w:left="4685"/>
      </w:pPr>
    </w:lvl>
    <w:lvl w:ilvl="7">
      <w:start w:val="1"/>
      <w:numFmt w:val="lowerLetter"/>
      <w:lvlText w:val="%8."/>
      <w:lvlJc w:val="left"/>
      <w:pPr>
        <w:ind w:hanging="360" w:left="5405"/>
      </w:pPr>
    </w:lvl>
    <w:lvl w:ilvl="8">
      <w:start w:val="1"/>
      <w:numFmt w:val="lowerRoman"/>
      <w:lvlText w:val="%9."/>
      <w:lvlJc w:val="right"/>
      <w:pPr>
        <w:ind w:hanging="180" w:left="6125"/>
      </w:pPr>
    </w:lvl>
  </w:abstractNum>
  <w:abstractNum w:abstractNumId="5">
    <w:lvl w:ilvl="0">
      <w:start w:val="1"/>
      <w:numFmt w:val="decimal"/>
      <w:lvlText w:val="%1)"/>
      <w:lvlJc w:val="left"/>
      <w:pPr>
        <w:ind w:hanging="360" w:left="720"/>
      </w:pPr>
    </w:lvl>
    <w:lvl w:ilvl="1">
      <w:start w:val="1"/>
      <w:numFmt w:val="lowerLetter"/>
      <w:lvlText w:val="%2."/>
      <w:lvlJc w:val="left"/>
      <w:pPr>
        <w:ind w:hanging="360" w:left="1440"/>
      </w:pPr>
    </w:lvl>
    <w:lvl w:ilvl="2">
      <w:start w:val="1"/>
      <w:numFmt w:val="lowerRoman"/>
      <w:lvlText w:val="%3."/>
      <w:lvlJc w:val="right"/>
      <w:pPr>
        <w:ind w:hanging="180" w:left="2160"/>
      </w:pPr>
    </w:lvl>
    <w:lvl w:ilvl="3">
      <w:start w:val="1"/>
      <w:numFmt w:val="decimal"/>
      <w:lvlText w:val="%4."/>
      <w:lvlJc w:val="left"/>
      <w:pPr>
        <w:ind w:hanging="360" w:left="2880"/>
      </w:pPr>
    </w:lvl>
    <w:lvl w:ilvl="4">
      <w:start w:val="1"/>
      <w:numFmt w:val="lowerLetter"/>
      <w:lvlText w:val="%5."/>
      <w:lvlJc w:val="left"/>
      <w:pPr>
        <w:ind w:hanging="360" w:left="3600"/>
      </w:pPr>
    </w:lvl>
    <w:lvl w:ilvl="5">
      <w:start w:val="1"/>
      <w:numFmt w:val="lowerRoman"/>
      <w:lvlText w:val="%6."/>
      <w:lvlJc w:val="right"/>
      <w:pPr>
        <w:ind w:hanging="180" w:left="4320"/>
      </w:pPr>
    </w:lvl>
    <w:lvl w:ilvl="6">
      <w:start w:val="1"/>
      <w:numFmt w:val="decimal"/>
      <w:lvlText w:val="%7."/>
      <w:lvlJc w:val="left"/>
      <w:pPr>
        <w:ind w:hanging="360" w:left="5040"/>
      </w:pPr>
    </w:lvl>
    <w:lvl w:ilvl="7">
      <w:start w:val="1"/>
      <w:numFmt w:val="lowerLetter"/>
      <w:lvlText w:val="%8."/>
      <w:lvlJc w:val="left"/>
      <w:pPr>
        <w:ind w:hanging="360" w:left="5760"/>
      </w:pPr>
    </w:lvl>
    <w:lvl w:ilvl="8">
      <w:start w:val="1"/>
      <w:numFmt w:val="lowerRoman"/>
      <w:lvlText w:val="%9."/>
      <w:lvlJc w:val="right"/>
      <w:pPr>
        <w:ind w:hanging="180" w:left="6480"/>
      </w:pPr>
    </w:lvl>
  </w:abstractNum>
  <w:abstractNum w:abstractNumId="6">
    <w:lvl w:ilvl="0">
      <w:start w:val="1"/>
      <w:numFmt w:val="decimal"/>
      <w:lvlText w:val="%1."/>
      <w:lvlJc w:val="left"/>
      <w:pPr>
        <w:ind w:hanging="360" w:left="720"/>
      </w:pPr>
    </w:lvl>
    <w:lvl w:ilvl="1">
      <w:start w:val="1"/>
      <w:numFmt w:val="lowerLetter"/>
      <w:lvlText w:val="%2."/>
      <w:lvlJc w:val="left"/>
      <w:pPr>
        <w:ind w:hanging="360" w:left="1440"/>
      </w:pPr>
    </w:lvl>
    <w:lvl w:ilvl="2">
      <w:start w:val="1"/>
      <w:numFmt w:val="lowerRoman"/>
      <w:lvlText w:val="%3."/>
      <w:lvlJc w:val="right"/>
      <w:pPr>
        <w:ind w:hanging="180" w:left="2160"/>
      </w:pPr>
    </w:lvl>
    <w:lvl w:ilvl="3">
      <w:start w:val="1"/>
      <w:numFmt w:val="decimal"/>
      <w:lvlText w:val="%4."/>
      <w:lvlJc w:val="left"/>
      <w:pPr>
        <w:ind w:hanging="360" w:left="2880"/>
      </w:pPr>
    </w:lvl>
    <w:lvl w:ilvl="4">
      <w:start w:val="1"/>
      <w:numFmt w:val="lowerLetter"/>
      <w:lvlText w:val="%5."/>
      <w:lvlJc w:val="left"/>
      <w:pPr>
        <w:ind w:hanging="360" w:left="3600"/>
      </w:pPr>
    </w:lvl>
    <w:lvl w:ilvl="5">
      <w:start w:val="1"/>
      <w:numFmt w:val="lowerRoman"/>
      <w:lvlText w:val="%6."/>
      <w:lvlJc w:val="right"/>
      <w:pPr>
        <w:ind w:hanging="180" w:left="4320"/>
      </w:pPr>
    </w:lvl>
    <w:lvl w:ilvl="6">
      <w:start w:val="1"/>
      <w:numFmt w:val="decimal"/>
      <w:lvlText w:val="%7."/>
      <w:lvlJc w:val="left"/>
      <w:pPr>
        <w:ind w:hanging="360" w:left="5040"/>
      </w:pPr>
    </w:lvl>
    <w:lvl w:ilvl="7">
      <w:start w:val="1"/>
      <w:numFmt w:val="lowerLetter"/>
      <w:lvlText w:val="%8."/>
      <w:lvlJc w:val="left"/>
      <w:pPr>
        <w:ind w:hanging="360" w:left="5760"/>
      </w:pPr>
    </w:lvl>
    <w:lvl w:ilvl="8">
      <w:start w:val="1"/>
      <w:numFmt w:val="lowerRoman"/>
      <w:lvlText w:val="%9."/>
      <w:lvlJc w:val="right"/>
      <w:pPr>
        <w:ind w:hanging="180" w:left="6480"/>
      </w:pPr>
    </w:lvl>
  </w:abstractNum>
  <w:abstractNum w:abstractNumId="7">
    <w:lvl w:ilvl="0">
      <w:start w:val="1"/>
      <w:numFmt w:val="bullet"/>
      <w:lvlText w:val=""/>
      <w:lvlJc w:val="left"/>
      <w:pPr>
        <w:tabs>
          <w:tab w:pos="720" w:val="num"/>
        </w:tabs>
        <w:ind w:hanging="360" w:left="720"/>
      </w:pPr>
      <w:rPr>
        <w:rFonts w:ascii="Symbol" w:cs="Symbol" w:hAnsi="Symbol" w:hint="default"/>
      </w:rPr>
    </w:lvl>
    <w:lvl w:ilvl="1">
      <w:start w:val="1"/>
      <w:numFmt w:val="bullet"/>
      <w:lvlText w:val=""/>
      <w:lvlJc w:val="left"/>
      <w:pPr>
        <w:tabs>
          <w:tab w:pos="1440" w:val="num"/>
        </w:tabs>
        <w:ind w:hanging="360" w:left="1440"/>
      </w:pPr>
      <w:rPr>
        <w:rFonts w:ascii="Symbol" w:cs="Symbol" w:hAnsi="Symbol" w:hint="default"/>
      </w:rPr>
    </w:lvl>
    <w:lvl w:ilvl="2">
      <w:start w:val="1"/>
      <w:numFmt w:val="bullet"/>
      <w:lvlText w:val=""/>
      <w:lvlJc w:val="left"/>
      <w:pPr>
        <w:tabs>
          <w:tab w:pos="2160" w:val="num"/>
        </w:tabs>
        <w:ind w:hanging="360" w:left="2160"/>
      </w:pPr>
      <w:rPr>
        <w:rFonts w:ascii="Symbol" w:cs="Symbol" w:hAnsi="Symbol" w:hint="default"/>
      </w:rPr>
    </w:lvl>
    <w:lvl w:ilvl="3">
      <w:start w:val="1"/>
      <w:numFmt w:val="bullet"/>
      <w:lvlText w:val=""/>
      <w:lvlJc w:val="left"/>
      <w:pPr>
        <w:tabs>
          <w:tab w:pos="2880" w:val="num"/>
        </w:tabs>
        <w:ind w:hanging="360" w:left="2880"/>
      </w:pPr>
      <w:rPr>
        <w:rFonts w:ascii="Symbol" w:cs="Symbol" w:hAnsi="Symbol" w:hint="default"/>
      </w:rPr>
    </w:lvl>
    <w:lvl w:ilvl="4">
      <w:start w:val="1"/>
      <w:numFmt w:val="bullet"/>
      <w:lvlText w:val=""/>
      <w:lvlJc w:val="left"/>
      <w:pPr>
        <w:tabs>
          <w:tab w:pos="3600" w:val="num"/>
        </w:tabs>
        <w:ind w:hanging="360" w:left="3600"/>
      </w:pPr>
      <w:rPr>
        <w:rFonts w:ascii="Symbol" w:cs="Symbol" w:hAnsi="Symbol" w:hint="default"/>
      </w:rPr>
    </w:lvl>
    <w:lvl w:ilvl="5">
      <w:start w:val="1"/>
      <w:numFmt w:val="bullet"/>
      <w:lvlText w:val=""/>
      <w:lvlJc w:val="left"/>
      <w:pPr>
        <w:tabs>
          <w:tab w:pos="4320" w:val="num"/>
        </w:tabs>
        <w:ind w:hanging="360" w:left="4320"/>
      </w:pPr>
      <w:rPr>
        <w:rFonts w:ascii="Symbol" w:cs="Symbol" w:hAnsi="Symbol" w:hint="default"/>
      </w:rPr>
    </w:lvl>
    <w:lvl w:ilvl="6">
      <w:start w:val="1"/>
      <w:numFmt w:val="bullet"/>
      <w:lvlText w:val=""/>
      <w:lvlJc w:val="left"/>
      <w:pPr>
        <w:tabs>
          <w:tab w:pos="5040" w:val="num"/>
        </w:tabs>
        <w:ind w:hanging="360" w:left="5040"/>
      </w:pPr>
      <w:rPr>
        <w:rFonts w:ascii="Symbol" w:cs="Symbol" w:hAnsi="Symbol" w:hint="default"/>
      </w:rPr>
    </w:lvl>
    <w:lvl w:ilvl="7">
      <w:start w:val="1"/>
      <w:numFmt w:val="bullet"/>
      <w:lvlText w:val=""/>
      <w:lvlJc w:val="left"/>
      <w:pPr>
        <w:tabs>
          <w:tab w:pos="5760" w:val="num"/>
        </w:tabs>
        <w:ind w:hanging="360" w:left="5760"/>
      </w:pPr>
      <w:rPr>
        <w:rFonts w:ascii="Symbol" w:cs="Symbol" w:hAnsi="Symbol" w:hint="default"/>
      </w:rPr>
    </w:lvl>
    <w:lvl w:ilvl="8">
      <w:start w:val="1"/>
      <w:numFmt w:val="bullet"/>
      <w:lvlText w:val=""/>
      <w:lvlJc w:val="left"/>
      <w:pPr>
        <w:tabs>
          <w:tab w:pos="6480" w:val="num"/>
        </w:tabs>
        <w:ind w:hanging="360" w:left="6480"/>
      </w:pPr>
      <w:rPr>
        <w:rFonts w:ascii="Symbol" w:cs="Symbol" w:hAnsi="Symbol" w:hint="default"/>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w="http://schemas.openxmlformats.org/wordprocessingml/2006/main">
  <w:zoom w:percent="80"/>
</w:settings>
</file>

<file path=word/styles.xml><?xml version="1.0" encoding="utf-8"?>
<w:styles xmlns:w="http://schemas.openxmlformats.org/wordprocessingml/2006/main">
  <w:style w:styleId="style0" w:type="paragraph">
    <w:name w:val="Domyślnie"/>
    <w:next w:val="style0"/>
    <w:pPr>
      <w:widowControl/>
      <w:tabs/>
      <w:suppressAutoHyphens w:val="true"/>
      <w:spacing w:after="5" w:before="0" w:line="100" w:lineRule="atLeast"/>
      <w:ind w:hanging="5" w:left="5" w:right="0"/>
      <w:contextualSpacing w:val="false"/>
      <w:jc w:val="both"/>
    </w:pPr>
    <w:rPr>
      <w:rFonts w:ascii="Times New Roman" w:cs="Times New Roman" w:eastAsia="Times New Roman" w:hAnsi="Times New Roman"/>
      <w:color w:val="000000"/>
      <w:sz w:val="24"/>
      <w:szCs w:val="22"/>
      <w:lang w:bidi="ar-SA" w:eastAsia="pl-PL" w:val="pl-PL"/>
    </w:rPr>
  </w:style>
  <w:style w:styleId="style1" w:type="paragraph">
    <w:name w:val="Nagłówek 1"/>
    <w:basedOn w:val="style29"/>
    <w:next w:val="style30"/>
    <w:pPr>
      <w:keepNext/>
      <w:keepLines/>
      <w:widowControl/>
      <w:spacing w:after="0" w:before="240"/>
      <w:ind w:hanging="5" w:left="346" w:right="0"/>
      <w:contextualSpacing w:val="false"/>
    </w:pPr>
    <w:rPr>
      <w:rFonts w:ascii="Times New Roman" w:cs="Times New Roman" w:eastAsia="Times New Roman" w:hAnsi="Times New Roman"/>
      <w:b/>
      <w:bCs/>
      <w:color w:val="000000"/>
      <w:sz w:val="30"/>
      <w:szCs w:val="32"/>
    </w:rPr>
  </w:style>
  <w:style w:styleId="style2" w:type="paragraph">
    <w:name w:val="Nagłówek 2"/>
    <w:basedOn w:val="style29"/>
    <w:next w:val="style30"/>
    <w:pPr>
      <w:keepNext/>
      <w:keepLines/>
      <w:widowControl/>
      <w:numPr>
        <w:ilvl w:val="1"/>
        <w:numId w:val="1"/>
      </w:numPr>
      <w:spacing w:after="750" w:before="240"/>
      <w:ind w:hanging="5" w:left="234" w:right="0"/>
      <w:contextualSpacing w:val="false"/>
      <w:jc w:val="center"/>
      <w:outlineLvl w:val="1"/>
    </w:pPr>
    <w:rPr>
      <w:rFonts w:ascii="Times New Roman" w:cs="Times New Roman" w:eastAsia="Times New Roman" w:hAnsi="Times New Roman"/>
      <w:b/>
      <w:bCs/>
      <w:i/>
      <w:iCs/>
      <w:color w:val="000000"/>
      <w:sz w:val="26"/>
      <w:szCs w:val="28"/>
    </w:rPr>
  </w:style>
  <w:style w:styleId="style15" w:type="character">
    <w:name w:val="Default Paragraph Font"/>
    <w:next w:val="style15"/>
    <w:rPr/>
  </w:style>
  <w:style w:styleId="style16" w:type="character">
    <w:name w:val="Nagłówek 2 Znak"/>
    <w:next w:val="style16"/>
    <w:rPr>
      <w:rFonts w:ascii="Times New Roman" w:cs="Times New Roman" w:eastAsia="Times New Roman" w:hAnsi="Times New Roman"/>
      <w:color w:val="000000"/>
      <w:sz w:val="26"/>
    </w:rPr>
  </w:style>
  <w:style w:styleId="style17" w:type="character">
    <w:name w:val="Nagłówek 1 Znak"/>
    <w:next w:val="style17"/>
    <w:rPr>
      <w:rFonts w:ascii="Times New Roman" w:cs="Times New Roman" w:eastAsia="Times New Roman" w:hAnsi="Times New Roman"/>
      <w:color w:val="000000"/>
      <w:sz w:val="30"/>
    </w:rPr>
  </w:style>
  <w:style w:styleId="style18" w:type="character">
    <w:name w:val="Tekst dymka Znak"/>
    <w:basedOn w:val="style15"/>
    <w:next w:val="style18"/>
    <w:rPr>
      <w:rFonts w:ascii="Tahoma" w:cs="Tahoma" w:eastAsia="Times New Roman" w:hAnsi="Tahoma"/>
      <w:color w:val="000000"/>
      <w:sz w:val="16"/>
      <w:szCs w:val="16"/>
    </w:rPr>
  </w:style>
  <w:style w:styleId="style19" w:type="character">
    <w:name w:val="Łącze internetowe"/>
    <w:basedOn w:val="style15"/>
    <w:next w:val="style19"/>
    <w:rPr>
      <w:color w:val="000080"/>
      <w:u w:val="single"/>
      <w:lang w:bidi="pl-PL" w:eastAsia="pl-PL" w:val="pl-PL"/>
    </w:rPr>
  </w:style>
  <w:style w:styleId="style20" w:type="character">
    <w:name w:val="ListLabel 1"/>
    <w:next w:val="style20"/>
    <w:rPr>
      <w:rFonts w:cs="Times New Roman" w:eastAsia="Times New Roman"/>
      <w:b w:val="false"/>
      <w:i w:val="false"/>
      <w:strike w:val="false"/>
      <w:dstrike w:val="false"/>
      <w:color w:val="000000"/>
      <w:position w:val="0"/>
      <w:sz w:val="30"/>
      <w:sz w:val="30"/>
      <w:szCs w:val="30"/>
      <w:u w:val="none"/>
      <w:shd w:fill="FFFFFF" w:val="clear"/>
      <w:vertAlign w:val="baseline"/>
    </w:rPr>
  </w:style>
  <w:style w:styleId="style21" w:type="character">
    <w:name w:val="ListLabel 2"/>
    <w:next w:val="style21"/>
    <w:rPr>
      <w:rFonts w:cs="Times New Roman" w:eastAsia="Times New Roman"/>
      <w:b w:val="false"/>
      <w:i w:val="false"/>
      <w:strike w:val="false"/>
      <w:dstrike w:val="false"/>
      <w:color w:val="000000"/>
      <w:position w:val="0"/>
      <w:sz w:val="26"/>
      <w:sz w:val="26"/>
      <w:szCs w:val="26"/>
      <w:u w:val="none"/>
      <w:shd w:fill="FFFFFF" w:val="clear"/>
      <w:vertAlign w:val="baseline"/>
    </w:rPr>
  </w:style>
  <w:style w:styleId="style22" w:type="character">
    <w:name w:val="ListLabel 3"/>
    <w:next w:val="style22"/>
    <w:rPr>
      <w:rFonts w:cs="Times New Roman" w:eastAsia="Times New Roman"/>
      <w:b w:val="false"/>
      <w:i w:val="false"/>
      <w:strike w:val="false"/>
      <w:dstrike w:val="false"/>
      <w:color w:val="000000"/>
      <w:position w:val="0"/>
      <w:sz w:val="24"/>
      <w:sz w:val="24"/>
      <w:szCs w:val="24"/>
      <w:u w:val="none"/>
      <w:shd w:fill="FFFFFF" w:val="clear"/>
      <w:vertAlign w:val="baseline"/>
    </w:rPr>
  </w:style>
  <w:style w:styleId="style23" w:type="character">
    <w:name w:val="ListLabel 4"/>
    <w:next w:val="style23"/>
    <w:rPr>
      <w:rFonts w:cs="Times New Roman" w:eastAsia="Times New Roman"/>
      <w:b w:val="false"/>
      <w:i w:val="false"/>
      <w:strike w:val="false"/>
      <w:dstrike w:val="false"/>
      <w:color w:val="000000"/>
      <w:position w:val="0"/>
      <w:sz w:val="28"/>
      <w:sz w:val="28"/>
      <w:szCs w:val="28"/>
      <w:u w:val="none"/>
      <w:shd w:fill="FFFFFF" w:val="clear"/>
      <w:vertAlign w:val="baseline"/>
    </w:rPr>
  </w:style>
  <w:style w:styleId="style24" w:type="character">
    <w:name w:val="ListLabel 5"/>
    <w:next w:val="style24"/>
    <w:rPr>
      <w:sz w:val="26"/>
    </w:rPr>
  </w:style>
  <w:style w:styleId="style25" w:type="character">
    <w:name w:val="ListLabel 6"/>
    <w:next w:val="style25"/>
    <w:rPr>
      <w:sz w:val="26"/>
    </w:rPr>
  </w:style>
  <w:style w:styleId="style26" w:type="character">
    <w:name w:val="ListLabel 7"/>
    <w:next w:val="style26"/>
    <w:rPr>
      <w:rFonts w:cs="Symbol"/>
    </w:rPr>
  </w:style>
  <w:style w:styleId="style27" w:type="character">
    <w:name w:val="ListLabel 8"/>
    <w:next w:val="style27"/>
    <w:rPr>
      <w:sz w:val="26"/>
    </w:rPr>
  </w:style>
  <w:style w:styleId="style28" w:type="character">
    <w:name w:val="ListLabel 9"/>
    <w:next w:val="style28"/>
    <w:rPr>
      <w:rFonts w:cs="Symbol"/>
    </w:rPr>
  </w:style>
  <w:style w:styleId="style29" w:type="paragraph">
    <w:name w:val="Nagłówek"/>
    <w:basedOn w:val="style0"/>
    <w:next w:val="style30"/>
    <w:pPr>
      <w:keepNext/>
      <w:spacing w:after="120" w:before="240"/>
      <w:contextualSpacing w:val="false"/>
    </w:pPr>
    <w:rPr>
      <w:rFonts w:ascii="Arial" w:cs="Mangal" w:eastAsia="Microsoft YaHei" w:hAnsi="Arial"/>
      <w:sz w:val="28"/>
      <w:szCs w:val="28"/>
    </w:rPr>
  </w:style>
  <w:style w:styleId="style30" w:type="paragraph">
    <w:name w:val="Treść tekstu"/>
    <w:basedOn w:val="style0"/>
    <w:next w:val="style30"/>
    <w:pPr>
      <w:spacing w:after="120" w:before="0"/>
      <w:contextualSpacing w:val="false"/>
    </w:pPr>
    <w:rPr/>
  </w:style>
  <w:style w:styleId="style31" w:type="paragraph">
    <w:name w:val="Lista"/>
    <w:basedOn w:val="style30"/>
    <w:next w:val="style31"/>
    <w:pPr/>
    <w:rPr>
      <w:rFonts w:cs="Mangal"/>
    </w:rPr>
  </w:style>
  <w:style w:styleId="style32" w:type="paragraph">
    <w:name w:val="Podpis"/>
    <w:basedOn w:val="style0"/>
    <w:next w:val="style32"/>
    <w:pPr>
      <w:suppressLineNumbers/>
      <w:spacing w:after="120" w:before="120"/>
      <w:contextualSpacing w:val="false"/>
    </w:pPr>
    <w:rPr>
      <w:rFonts w:cs="Mangal"/>
      <w:i/>
      <w:iCs/>
      <w:sz w:val="24"/>
      <w:szCs w:val="24"/>
    </w:rPr>
  </w:style>
  <w:style w:styleId="style33" w:type="paragraph">
    <w:name w:val="Indeks"/>
    <w:basedOn w:val="style0"/>
    <w:next w:val="style33"/>
    <w:pPr>
      <w:suppressLineNumbers/>
    </w:pPr>
    <w:rPr>
      <w:rFonts w:cs="Mangal"/>
    </w:rPr>
  </w:style>
  <w:style w:styleId="style34" w:type="paragraph">
    <w:name w:val="List Paragraph"/>
    <w:basedOn w:val="style0"/>
    <w:next w:val="style34"/>
    <w:pPr>
      <w:spacing w:after="5" w:before="0"/>
      <w:ind w:hanging="5" w:left="720" w:right="0"/>
      <w:contextualSpacing/>
    </w:pPr>
    <w:rPr/>
  </w:style>
  <w:style w:styleId="style35" w:type="paragraph">
    <w:name w:val="Balloon Text"/>
    <w:basedOn w:val="style0"/>
    <w:next w:val="style35"/>
    <w:pPr>
      <w:spacing w:after="0" w:before="0" w:line="100" w:lineRule="atLeast"/>
      <w:contextualSpacing w:val="false"/>
    </w:pPr>
    <w:rPr>
      <w:rFonts w:ascii="Tahoma" w:cs="Tahoma" w:hAnsi="Tahoma"/>
      <w:sz w:val="16"/>
      <w:szCs w:val="16"/>
    </w:rPr>
  </w:style>
  <w:style w:styleId="style36" w:type="paragraph">
    <w:name w:val="Stopka"/>
    <w:basedOn w:val="style0"/>
    <w:next w:val="style36"/>
    <w:pPr>
      <w:suppressLineNumbers/>
      <w:tabs>
        <w:tab w:leader="none" w:pos="4834" w:val="center"/>
        <w:tab w:leader="none" w:pos="9653" w:val="right"/>
      </w:tabs>
    </w:pPr>
    <w:rPr/>
  </w:style>
  <w:style w:styleId="style37" w:type="paragraph">
    <w:name w:val="Główka"/>
    <w:basedOn w:val="style0"/>
    <w:next w:val="style37"/>
    <w:pPr>
      <w:suppressLineNumbers/>
      <w:tabs>
        <w:tab w:leader="none" w:pos="4674" w:val="center"/>
        <w:tab w:leader="none" w:pos="9334" w:val="right"/>
      </w:tabs>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dps.miechow@interia.pl" TargetMode="External"/><Relationship Id="rId3" Type="http://schemas.openxmlformats.org/officeDocument/2006/relationships/image" Target="media/image1.jpeg"/><Relationship Id="rId4" Type="http://schemas.openxmlformats.org/officeDocument/2006/relationships/image" Target="media/image2"/><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hyperlink" Target="https://bip.malopolska.pl/" TargetMode="External"/><Relationship Id="rId8" Type="http://schemas.openxmlformats.org/officeDocument/2006/relationships/image" Target="media/image4.jpeg"/><Relationship Id="rId9" Type="http://schemas.openxmlformats.org/officeDocument/2006/relationships/image" Target="media/image5.jpeg"/><Relationship Id="rId10" Type="http://schemas.openxmlformats.org/officeDocument/2006/relationships/image" Target="media/image6.jpeg"/><Relationship Id="rId11" Type="http://schemas.openxmlformats.org/officeDocument/2006/relationships/image" Target="media/image7.jpeg"/><Relationship Id="rId12" Type="http://schemas.openxmlformats.org/officeDocument/2006/relationships/image" Target="media/image8.jpeg"/><Relationship Id="rId13" Type="http://schemas.openxmlformats.org/officeDocument/2006/relationships/hyperlink" Target="mailto:dps.miechow@interia.pl" TargetMode="External"/><Relationship Id="rId14" Type="http://schemas.openxmlformats.org/officeDocument/2006/relationships/image" Target="media/image9.jpeg"/><Relationship Id="rId15" Type="http://schemas.openxmlformats.org/officeDocument/2006/relationships/image" Target="media/image10.jpeg"/><Relationship Id="rId16" Type="http://schemas.openxmlformats.org/officeDocument/2006/relationships/image" Target="media/image11.jpeg"/><Relationship Id="rId17" Type="http://schemas.openxmlformats.org/officeDocument/2006/relationships/image" Target="media/image12.jpeg"/><Relationship Id="rId18" Type="http://schemas.openxmlformats.org/officeDocument/2006/relationships/hyperlink" Target="mailto:dps.miechow@interia.pl" TargetMode="External"/><Relationship Id="rId19" Type="http://schemas.openxmlformats.org/officeDocument/2006/relationships/image" Target="media/image13.jpeg"/><Relationship Id="rId20" Type="http://schemas.openxmlformats.org/officeDocument/2006/relationships/image" Target="media/image14.jpeg"/><Relationship Id="rId21" Type="http://schemas.openxmlformats.org/officeDocument/2006/relationships/header" Target="header2.xml"/><Relationship Id="rId22" Type="http://schemas.openxmlformats.org/officeDocument/2006/relationships/footer" Target="footer2.xml"/><Relationship Id="rId23" Type="http://schemas.openxmlformats.org/officeDocument/2006/relationships/numbering" Target="numbering.xml"/><Relationship Id="rId24" Type="http://schemas.openxmlformats.org/officeDocument/2006/relationships/fontTable" Target="fontTable.xml"/><Relationship Id="rId25" Type="http://schemas.openxmlformats.org/officeDocument/2006/relationships/settings" Target="settings.xml"/>
</Relationships>
</file>

<file path=word/_rels/header1.xml.rels><?xml version="1.0" encoding="UTF-8"?>
<Relationships xmlns="http://schemas.openxmlformats.org/package/2006/relationships"><Relationship Id="rId1" Type="http://schemas.openxmlformats.org/officeDocument/2006/relationships/image" Target="media/image3.png"/>
</Relationships>
</file>

<file path=word/_rels/header2.xml.rels><?xml version="1.0" encoding="UTF-8"?>
<Relationships xmlns="http://schemas.openxmlformats.org/package/2006/relationships"><Relationship Id="rId1" Type="http://schemas.openxmlformats.org/officeDocument/2006/relationships/image" Target="media/image15"/>
</Relationships>
</file>

<file path=docProps/app.xml><?xml version="1.0" encoding="utf-8"?>
<Properties xmlns="http://schemas.openxmlformats.org/officeDocument/2006/extended-properties" xmlns:vt="http://schemas.openxmlformats.org/officeDocument/2006/docPropsVTypes">
  <Template>Normal</Template>
  <TotalTime>75</TotalTime>
  <Application>Microsoft Office Word</Application>
</Properties>
</file>

<file path=docProps/core.xml><?xml version="1.0" encoding="utf-8"?>
<cp:coreProperties xmlns:cp="http://schemas.openxmlformats.org/package/2006/metadata/core-properties" xmlns:dc="http://purl.org/dc/elements/1.1/" xmlns:dcmitype="http://purl.org/dc/dcmitype/" xmlns:dcterms="http://purl.org/dc/terms/" xmlns:xsi="http://www.w3.org/2001/XMLSchema-instance">
  <dcterms:created xsi:type="dcterms:W3CDTF">2018-12-10T17:46:00.00Z</dcterms:created>
  <dc:creator>Agnieszka</dc:creator>
  <cp:lastModifiedBy>Aga</cp:lastModifiedBy>
  <cp:lastPrinted>2019-01-29T09:24:14.37Z</cp:lastPrinted>
  <dcterms:modified xsi:type="dcterms:W3CDTF">2019-01-28T16:21:00.00Z</dcterms:modified>
  <cp:revision>17</cp:revision>
</cp:coreProperties>
</file>